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82F7" w14:textId="77777777" w:rsidR="0063374B" w:rsidRDefault="00012AEC">
      <w:pPr>
        <w:spacing w:before="5" w:after="293" w:line="263" w:lineRule="exact"/>
        <w:ind w:left="1872" w:hanging="1440"/>
        <w:textAlignment w:val="baseline"/>
        <w:rPr>
          <w:rFonts w:eastAsia="Times New Roman"/>
          <w:b/>
          <w:color w:val="000000"/>
          <w:sz w:val="23"/>
          <w:lang w:val="fr-FR"/>
        </w:rPr>
      </w:pPr>
      <w:r>
        <w:pict w14:anchorId="3F3F6AEF">
          <v:shapetype id="_x0000_t202" coordsize="21600,21600" o:spt="202" path="m,l,21600r21600,l21600,xe">
            <v:stroke joinstyle="miter"/>
            <v:path gradientshapeok="t" o:connecttype="rect"/>
          </v:shapetype>
          <v:shape id="_x0000_s0" o:spid="_x0000_s1033" type="#_x0000_t202" style="position:absolute;left:0;text-align:left;margin-left:0;margin-top:0;width:596.15pt;height:842.05pt;z-index:-251662336;mso-position-horizontal-relative:page;mso-position-vertical-relative:page" fillcolor="#ededed" stroked="f">
            <v:textbox>
              <w:txbxContent>
                <w:p w14:paraId="6C239D59" w14:textId="77777777" w:rsidR="00000000" w:rsidRDefault="00012AEC"/>
              </w:txbxContent>
            </v:textbox>
            <w10:wrap anchorx="page" anchory="page"/>
          </v:shape>
        </w:pict>
      </w:r>
      <w:r>
        <w:rPr>
          <w:rFonts w:eastAsia="Times New Roman"/>
          <w:b/>
          <w:color w:val="000000"/>
          <w:sz w:val="23"/>
          <w:lang w:val="fr-FR"/>
        </w:rPr>
        <w:t xml:space="preserve">COUR ADMINISTRATIVE D'APPEL </w:t>
      </w:r>
      <w:r>
        <w:rPr>
          <w:rFonts w:eastAsia="Times New Roman"/>
          <w:b/>
          <w:color w:val="000000"/>
          <w:sz w:val="23"/>
          <w:lang w:val="fr-FR"/>
        </w:rPr>
        <w:br/>
        <w:t>DE LYON</w:t>
      </w:r>
    </w:p>
    <w:tbl>
      <w:tblPr>
        <w:tblW w:w="0" w:type="auto"/>
        <w:tblLayout w:type="fixed"/>
        <w:tblCellMar>
          <w:left w:w="0" w:type="dxa"/>
          <w:right w:w="0" w:type="dxa"/>
        </w:tblCellMar>
        <w:tblLook w:val="0000" w:firstRow="0" w:lastRow="0" w:firstColumn="0" w:lastColumn="0" w:noHBand="0" w:noVBand="0"/>
      </w:tblPr>
      <w:tblGrid>
        <w:gridCol w:w="4419"/>
        <w:gridCol w:w="5301"/>
      </w:tblGrid>
      <w:tr w:rsidR="0063374B" w14:paraId="16F3F7F5" w14:textId="77777777">
        <w:tblPrEx>
          <w:tblCellMar>
            <w:top w:w="0" w:type="dxa"/>
            <w:bottom w:w="0" w:type="dxa"/>
          </w:tblCellMar>
        </w:tblPrEx>
        <w:trPr>
          <w:trHeight w:hRule="exact" w:val="473"/>
        </w:trPr>
        <w:tc>
          <w:tcPr>
            <w:tcW w:w="4419" w:type="dxa"/>
            <w:tcBorders>
              <w:top w:val="none" w:sz="0" w:space="0" w:color="020000"/>
              <w:left w:val="none" w:sz="0" w:space="0" w:color="000000"/>
              <w:bottom w:val="single" w:sz="4" w:space="0" w:color="242321"/>
              <w:right w:val="none" w:sz="0" w:space="0" w:color="000000"/>
            </w:tcBorders>
          </w:tcPr>
          <w:p w14:paraId="21A50E5B" w14:textId="77777777" w:rsidR="0063374B" w:rsidRDefault="00012AEC">
            <w:pPr>
              <w:spacing w:after="239" w:line="229" w:lineRule="exact"/>
              <w:ind w:left="72"/>
              <w:textAlignment w:val="baseline"/>
              <w:rPr>
                <w:rFonts w:eastAsia="Times New Roman"/>
                <w:b/>
                <w:color w:val="000000"/>
                <w:sz w:val="23"/>
                <w:lang w:val="fr-FR"/>
              </w:rPr>
            </w:pPr>
            <w:r>
              <w:rPr>
                <w:rFonts w:eastAsia="Times New Roman"/>
                <w:b/>
                <w:color w:val="000000"/>
                <w:sz w:val="23"/>
                <w:lang w:val="fr-FR"/>
              </w:rPr>
              <w:t>N° 19LY04627</w:t>
            </w:r>
          </w:p>
        </w:tc>
        <w:tc>
          <w:tcPr>
            <w:tcW w:w="5301" w:type="dxa"/>
            <w:tcBorders>
              <w:top w:val="none" w:sz="0" w:space="0" w:color="000000"/>
              <w:left w:val="none" w:sz="0" w:space="0" w:color="000000"/>
              <w:bottom w:val="none" w:sz="0" w:space="0" w:color="000000"/>
              <w:right w:val="none" w:sz="0" w:space="0" w:color="000000"/>
            </w:tcBorders>
          </w:tcPr>
          <w:p w14:paraId="54247D9E" w14:textId="77777777" w:rsidR="0063374B" w:rsidRDefault="0063374B"/>
        </w:tc>
      </w:tr>
      <w:tr w:rsidR="0063374B" w14:paraId="293914D8" w14:textId="77777777">
        <w:tblPrEx>
          <w:tblCellMar>
            <w:top w:w="0" w:type="dxa"/>
            <w:bottom w:w="0" w:type="dxa"/>
          </w:tblCellMar>
        </w:tblPrEx>
        <w:trPr>
          <w:trHeight w:hRule="exact" w:val="827"/>
        </w:trPr>
        <w:tc>
          <w:tcPr>
            <w:tcW w:w="4419" w:type="dxa"/>
            <w:tcBorders>
              <w:top w:val="single" w:sz="4" w:space="0" w:color="242321"/>
              <w:left w:val="none" w:sz="0" w:space="0" w:color="020000"/>
              <w:bottom w:val="single" w:sz="4" w:space="0" w:color="242321"/>
              <w:right w:val="none" w:sz="0" w:space="0" w:color="020000"/>
            </w:tcBorders>
            <w:vAlign w:val="center"/>
          </w:tcPr>
          <w:p w14:paraId="287C3883" w14:textId="77777777" w:rsidR="0063374B" w:rsidRDefault="00012AEC">
            <w:pPr>
              <w:spacing w:before="294" w:after="256" w:line="266" w:lineRule="exact"/>
              <w:ind w:left="72"/>
              <w:textAlignment w:val="baseline"/>
              <w:rPr>
                <w:rFonts w:eastAsia="Times New Roman"/>
                <w:color w:val="000000"/>
                <w:sz w:val="23"/>
                <w:lang w:val="fr-FR"/>
              </w:rPr>
            </w:pPr>
            <w:r>
              <w:rPr>
                <w:rFonts w:eastAsia="Times New Roman"/>
                <w:color w:val="000000"/>
                <w:sz w:val="23"/>
                <w:lang w:val="fr-FR"/>
              </w:rPr>
              <w:t>SOCIÉTÉ VCF TP LYON et autres</w:t>
            </w:r>
          </w:p>
        </w:tc>
        <w:tc>
          <w:tcPr>
            <w:tcW w:w="5301" w:type="dxa"/>
            <w:vMerge w:val="restart"/>
            <w:tcBorders>
              <w:top w:val="none" w:sz="0" w:space="0" w:color="000000"/>
              <w:left w:val="none" w:sz="0" w:space="0" w:color="020000"/>
              <w:bottom w:val="single" w:sz="0" w:space="0" w:color="000000"/>
              <w:right w:val="none" w:sz="0" w:space="0" w:color="000000"/>
            </w:tcBorders>
          </w:tcPr>
          <w:p w14:paraId="4090D082" w14:textId="77777777" w:rsidR="0063374B" w:rsidRDefault="00012AEC">
            <w:pPr>
              <w:spacing w:before="157" w:line="264" w:lineRule="exact"/>
              <w:ind w:left="1296"/>
              <w:textAlignment w:val="baseline"/>
              <w:rPr>
                <w:rFonts w:eastAsia="Times New Roman"/>
                <w:b/>
                <w:color w:val="000000"/>
                <w:sz w:val="23"/>
                <w:lang w:val="fr-FR"/>
              </w:rPr>
            </w:pPr>
            <w:r>
              <w:rPr>
                <w:rFonts w:eastAsia="Times New Roman"/>
                <w:b/>
                <w:color w:val="000000"/>
                <w:sz w:val="23"/>
                <w:lang w:val="fr-FR"/>
              </w:rPr>
              <w:t>RÉPUBLIQUE FRANÇAISE</w:t>
            </w:r>
          </w:p>
          <w:p w14:paraId="0E9BD9AE" w14:textId="77777777" w:rsidR="0063374B" w:rsidRDefault="00012AEC">
            <w:pPr>
              <w:spacing w:before="813" w:line="261" w:lineRule="exact"/>
              <w:ind w:right="576"/>
              <w:jc w:val="right"/>
              <w:textAlignment w:val="baseline"/>
              <w:rPr>
                <w:rFonts w:eastAsia="Times New Roman"/>
                <w:b/>
                <w:color w:val="000000"/>
                <w:sz w:val="23"/>
                <w:lang w:val="fr-FR"/>
              </w:rPr>
            </w:pPr>
            <w:r>
              <w:rPr>
                <w:rFonts w:eastAsia="Times New Roman"/>
                <w:b/>
                <w:color w:val="000000"/>
                <w:sz w:val="23"/>
                <w:lang w:val="fr-FR"/>
              </w:rPr>
              <w:t>AU NOM DU PEUPLE FRANÇAIS</w:t>
            </w:r>
          </w:p>
          <w:p w14:paraId="0BFAA282" w14:textId="77777777" w:rsidR="0063374B" w:rsidRDefault="00012AEC">
            <w:pPr>
              <w:spacing w:before="809" w:after="121" w:line="263" w:lineRule="exact"/>
              <w:ind w:right="576"/>
              <w:jc w:val="right"/>
              <w:textAlignment w:val="baseline"/>
              <w:rPr>
                <w:rFonts w:eastAsia="Times New Roman"/>
                <w:color w:val="000000"/>
                <w:sz w:val="23"/>
                <w:lang w:val="fr-FR"/>
              </w:rPr>
            </w:pPr>
            <w:r>
              <w:rPr>
                <w:rFonts w:eastAsia="Times New Roman"/>
                <w:color w:val="000000"/>
                <w:sz w:val="23"/>
                <w:lang w:val="fr-FR"/>
              </w:rPr>
              <w:t>La cour administrative d'appel de Lyon</w:t>
            </w:r>
          </w:p>
        </w:tc>
      </w:tr>
      <w:tr w:rsidR="0063374B" w14:paraId="65BDC7F6" w14:textId="77777777">
        <w:tblPrEx>
          <w:tblCellMar>
            <w:top w:w="0" w:type="dxa"/>
            <w:bottom w:w="0" w:type="dxa"/>
          </w:tblCellMar>
        </w:tblPrEx>
        <w:trPr>
          <w:trHeight w:hRule="exact" w:val="1058"/>
        </w:trPr>
        <w:tc>
          <w:tcPr>
            <w:tcW w:w="4419" w:type="dxa"/>
            <w:tcBorders>
              <w:top w:val="single" w:sz="4" w:space="0" w:color="242321"/>
              <w:left w:val="none" w:sz="0" w:space="0" w:color="000000"/>
              <w:bottom w:val="single" w:sz="4" w:space="0" w:color="2B2C29"/>
              <w:right w:val="none" w:sz="0" w:space="0" w:color="000000"/>
            </w:tcBorders>
            <w:vAlign w:val="center"/>
          </w:tcPr>
          <w:p w14:paraId="0DE15E1D" w14:textId="77777777" w:rsidR="0063374B" w:rsidRDefault="00012AEC">
            <w:pPr>
              <w:spacing w:before="271" w:after="249" w:line="267" w:lineRule="exact"/>
              <w:ind w:left="72"/>
              <w:textAlignment w:val="baseline"/>
              <w:rPr>
                <w:rFonts w:eastAsia="Times New Roman"/>
                <w:color w:val="000000"/>
                <w:sz w:val="23"/>
                <w:lang w:val="fr-FR"/>
              </w:rPr>
            </w:pPr>
            <w:r>
              <w:rPr>
                <w:rFonts w:eastAsia="Times New Roman"/>
                <w:color w:val="000000"/>
                <w:sz w:val="23"/>
                <w:lang w:val="fr-FR"/>
              </w:rPr>
              <w:t xml:space="preserve">M. Christophe Rivière </w:t>
            </w:r>
            <w:r>
              <w:rPr>
                <w:rFonts w:eastAsia="Times New Roman"/>
                <w:color w:val="000000"/>
                <w:sz w:val="23"/>
                <w:lang w:val="fr-FR"/>
              </w:rPr>
              <w:br/>
              <w:t>Rapporteur</w:t>
            </w:r>
          </w:p>
        </w:tc>
        <w:tc>
          <w:tcPr>
            <w:tcW w:w="5301" w:type="dxa"/>
            <w:vMerge/>
            <w:tcBorders>
              <w:top w:val="single" w:sz="0" w:space="0" w:color="000000"/>
              <w:left w:val="none" w:sz="0" w:space="0" w:color="000000"/>
              <w:bottom w:val="single" w:sz="0" w:space="0" w:color="000000"/>
              <w:right w:val="none" w:sz="0" w:space="0" w:color="000000"/>
            </w:tcBorders>
          </w:tcPr>
          <w:p w14:paraId="19E4487E" w14:textId="77777777" w:rsidR="0063374B" w:rsidRDefault="0063374B"/>
        </w:tc>
      </w:tr>
      <w:tr w:rsidR="0063374B" w14:paraId="621CBAD8" w14:textId="77777777">
        <w:tblPrEx>
          <w:tblCellMar>
            <w:top w:w="0" w:type="dxa"/>
            <w:bottom w:w="0" w:type="dxa"/>
          </w:tblCellMar>
        </w:tblPrEx>
        <w:trPr>
          <w:trHeight w:hRule="exact" w:val="817"/>
        </w:trPr>
        <w:tc>
          <w:tcPr>
            <w:tcW w:w="4419" w:type="dxa"/>
            <w:tcBorders>
              <w:top w:val="single" w:sz="4" w:space="0" w:color="2B2C29"/>
              <w:left w:val="none" w:sz="0" w:space="0" w:color="000000"/>
              <w:bottom w:val="none" w:sz="0" w:space="0" w:color="020000"/>
              <w:right w:val="none" w:sz="0" w:space="0" w:color="000000"/>
            </w:tcBorders>
            <w:vAlign w:val="bottom"/>
          </w:tcPr>
          <w:p w14:paraId="3CAD1F6E" w14:textId="77777777" w:rsidR="0063374B" w:rsidRDefault="00012AEC">
            <w:pPr>
              <w:spacing w:before="283" w:line="260" w:lineRule="exact"/>
              <w:ind w:left="72"/>
              <w:textAlignment w:val="baseline"/>
              <w:rPr>
                <w:rFonts w:eastAsia="Times New Roman"/>
                <w:color w:val="000000"/>
                <w:sz w:val="23"/>
                <w:lang w:val="fr-FR"/>
              </w:rPr>
            </w:pPr>
            <w:r>
              <w:rPr>
                <w:rFonts w:eastAsia="Times New Roman"/>
                <w:color w:val="000000"/>
                <w:sz w:val="23"/>
                <w:lang w:val="fr-FR"/>
              </w:rPr>
              <w:t xml:space="preserve">M. Bertrand Savouré </w:t>
            </w:r>
            <w:r>
              <w:rPr>
                <w:rFonts w:eastAsia="Times New Roman"/>
                <w:color w:val="000000"/>
                <w:sz w:val="23"/>
                <w:lang w:val="fr-FR"/>
              </w:rPr>
              <w:br/>
            </w:r>
            <w:r>
              <w:rPr>
                <w:rFonts w:eastAsia="Times New Roman"/>
                <w:color w:val="000000"/>
                <w:sz w:val="23"/>
                <w:lang w:val="fr-FR"/>
              </w:rPr>
              <w:t>Rapporteur public</w:t>
            </w:r>
          </w:p>
        </w:tc>
        <w:tc>
          <w:tcPr>
            <w:tcW w:w="5301" w:type="dxa"/>
            <w:vMerge/>
            <w:tcBorders>
              <w:top w:val="single" w:sz="0" w:space="0" w:color="000000"/>
              <w:left w:val="none" w:sz="0" w:space="0" w:color="000000"/>
              <w:bottom w:val="none" w:sz="0" w:space="0" w:color="000000"/>
              <w:right w:val="none" w:sz="0" w:space="0" w:color="000000"/>
            </w:tcBorders>
          </w:tcPr>
          <w:p w14:paraId="589B8A7D" w14:textId="77777777" w:rsidR="0063374B" w:rsidRDefault="0063374B"/>
        </w:tc>
      </w:tr>
    </w:tbl>
    <w:p w14:paraId="0338DDB8" w14:textId="77777777" w:rsidR="0063374B" w:rsidRDefault="00012AEC">
      <w:pPr>
        <w:spacing w:before="135" w:line="268" w:lineRule="exact"/>
        <w:ind w:left="6696"/>
        <w:textAlignment w:val="baseline"/>
        <w:rPr>
          <w:rFonts w:eastAsia="Times New Roman"/>
          <w:color w:val="000000"/>
          <w:spacing w:val="-10"/>
          <w:sz w:val="23"/>
          <w:lang w:val="fr-FR"/>
        </w:rPr>
      </w:pPr>
      <w:r>
        <w:pict w14:anchorId="7EF626D1">
          <v:line id="_x0000_s1032" style="position:absolute;left:0;text-align:left;z-index:251660288;mso-position-horizontal-relative:page;mso-position-vertical-relative:page" from="58.85pt,286.9pt" to="122.65pt,286.9pt" strokecolor="#1d1e1b" strokeweight=".55pt">
            <w10:wrap anchorx="page" anchory="page"/>
          </v:line>
        </w:pict>
      </w:r>
      <w:r>
        <w:rPr>
          <w:rFonts w:eastAsia="Times New Roman"/>
          <w:color w:val="000000"/>
          <w:spacing w:val="-10"/>
          <w:sz w:val="23"/>
          <w:lang w:val="fr-FR"/>
        </w:rPr>
        <w:t>4</w:t>
      </w:r>
      <w:r>
        <w:rPr>
          <w:rFonts w:eastAsia="Times New Roman"/>
          <w:color w:val="000000"/>
          <w:spacing w:val="-10"/>
          <w:sz w:val="23"/>
          <w:vertAlign w:val="superscript"/>
          <w:lang w:val="fr-FR"/>
        </w:rPr>
        <w:t>ème</w:t>
      </w:r>
      <w:r>
        <w:rPr>
          <w:rFonts w:eastAsia="Times New Roman"/>
          <w:color w:val="000000"/>
          <w:spacing w:val="-10"/>
          <w:sz w:val="23"/>
          <w:lang w:val="fr-FR"/>
        </w:rPr>
        <w:t xml:space="preserve"> chambre</w:t>
      </w:r>
    </w:p>
    <w:p w14:paraId="379E88E0" w14:textId="77777777" w:rsidR="0063374B" w:rsidRDefault="00012AEC">
      <w:pPr>
        <w:spacing w:before="131" w:after="195" w:line="269" w:lineRule="exact"/>
        <w:ind w:left="72"/>
        <w:textAlignment w:val="baseline"/>
        <w:rPr>
          <w:rFonts w:eastAsia="Times New Roman"/>
          <w:color w:val="000000"/>
          <w:sz w:val="23"/>
          <w:lang w:val="fr-FR"/>
        </w:rPr>
      </w:pPr>
      <w:r>
        <w:rPr>
          <w:rFonts w:eastAsia="Times New Roman"/>
          <w:color w:val="000000"/>
          <w:sz w:val="23"/>
          <w:lang w:val="fr-FR"/>
        </w:rPr>
        <w:t xml:space="preserve">Audience du 16 décembre 2021 </w:t>
      </w:r>
      <w:r>
        <w:rPr>
          <w:rFonts w:eastAsia="Times New Roman"/>
          <w:color w:val="000000"/>
          <w:sz w:val="23"/>
          <w:lang w:val="fr-FR"/>
        </w:rPr>
        <w:br/>
        <w:t>Décision du 25 janvier 2022</w:t>
      </w:r>
    </w:p>
    <w:p w14:paraId="57F5D996" w14:textId="77777777" w:rsidR="0063374B" w:rsidRDefault="00012AEC">
      <w:pPr>
        <w:spacing w:line="322" w:lineRule="exact"/>
        <w:textAlignment w:val="baseline"/>
        <w:rPr>
          <w:rFonts w:eastAsia="Times New Roman"/>
          <w:color w:val="000000"/>
          <w:spacing w:val="49"/>
          <w:sz w:val="23"/>
          <w:lang w:val="fr-FR"/>
        </w:rPr>
      </w:pPr>
      <w:r>
        <w:pict w14:anchorId="443C1184">
          <v:line id="_x0000_s1031" style="position:absolute;z-index:251661312;mso-position-horizontal-relative:page;mso-position-vertical-relative:page" from="59.6pt,340.55pt" to="123.35pt,340.55pt" strokecolor="#272623" strokeweight=".55pt">
            <w10:wrap anchorx="page" anchory="page"/>
          </v:line>
        </w:pict>
      </w:r>
      <w:r>
        <w:rPr>
          <w:rFonts w:eastAsia="Times New Roman"/>
          <w:color w:val="000000"/>
          <w:spacing w:val="49"/>
          <w:sz w:val="23"/>
          <w:lang w:val="fr-FR"/>
        </w:rPr>
        <w:t xml:space="preserve">39-05 </w:t>
      </w:r>
      <w:r>
        <w:rPr>
          <w:rFonts w:eastAsia="Times New Roman"/>
          <w:color w:val="000000"/>
          <w:spacing w:val="49"/>
          <w:sz w:val="23"/>
          <w:lang w:val="fr-FR"/>
        </w:rPr>
        <w:br/>
      </w:r>
      <w:r>
        <w:rPr>
          <w:rFonts w:ascii="Verdana" w:eastAsia="Verdana" w:hAnsi="Verdana"/>
          <w:color w:val="000000"/>
          <w:spacing w:val="49"/>
          <w:sz w:val="21"/>
          <w:lang w:val="fr-FR"/>
        </w:rPr>
        <w:t>C</w:t>
      </w:r>
    </w:p>
    <w:p w14:paraId="0DA922AA" w14:textId="77777777" w:rsidR="0063374B" w:rsidRDefault="00012AEC">
      <w:pPr>
        <w:spacing w:before="565" w:line="263" w:lineRule="exact"/>
        <w:ind w:left="1440"/>
        <w:textAlignment w:val="baseline"/>
        <w:rPr>
          <w:rFonts w:eastAsia="Times New Roman"/>
          <w:color w:val="000000"/>
          <w:sz w:val="23"/>
          <w:lang w:val="fr-FR"/>
        </w:rPr>
      </w:pPr>
      <w:r>
        <w:rPr>
          <w:rFonts w:eastAsia="Times New Roman"/>
          <w:color w:val="000000"/>
          <w:sz w:val="23"/>
          <w:lang w:val="fr-FR"/>
        </w:rPr>
        <w:t>Vu la procédure suivante :</w:t>
      </w:r>
    </w:p>
    <w:p w14:paraId="2CA39F10" w14:textId="77777777" w:rsidR="0063374B" w:rsidRDefault="00012AEC">
      <w:pPr>
        <w:spacing w:before="277" w:line="268" w:lineRule="exact"/>
        <w:ind w:left="1440"/>
        <w:textAlignment w:val="baseline"/>
        <w:rPr>
          <w:rFonts w:eastAsia="Times New Roman"/>
          <w:i/>
          <w:color w:val="000000"/>
          <w:sz w:val="23"/>
          <w:lang w:val="fr-FR"/>
        </w:rPr>
      </w:pPr>
      <w:r>
        <w:rPr>
          <w:rFonts w:eastAsia="Times New Roman"/>
          <w:i/>
          <w:color w:val="000000"/>
          <w:sz w:val="23"/>
          <w:lang w:val="fr-FR"/>
        </w:rPr>
        <w:t>Procédure contentieuse antérieure</w:t>
      </w:r>
    </w:p>
    <w:p w14:paraId="1C19F158" w14:textId="77777777" w:rsidR="0063374B" w:rsidRDefault="00012AEC">
      <w:pPr>
        <w:spacing w:before="266" w:line="266" w:lineRule="exact"/>
        <w:ind w:left="648" w:right="72" w:firstLine="792"/>
        <w:jc w:val="both"/>
        <w:textAlignment w:val="baseline"/>
        <w:rPr>
          <w:rFonts w:eastAsia="Times New Roman"/>
          <w:color w:val="000000"/>
          <w:sz w:val="23"/>
          <w:lang w:val="fr-FR"/>
        </w:rPr>
      </w:pPr>
      <w:r>
        <w:rPr>
          <w:rFonts w:eastAsia="Times New Roman"/>
          <w:color w:val="000000"/>
          <w:sz w:val="23"/>
          <w:lang w:val="fr-FR"/>
        </w:rPr>
        <w:t xml:space="preserve">La société </w:t>
      </w:r>
      <w:proofErr w:type="spellStart"/>
      <w:r>
        <w:rPr>
          <w:rFonts w:eastAsia="Times New Roman"/>
          <w:color w:val="000000"/>
          <w:sz w:val="23"/>
          <w:lang w:val="fr-FR"/>
        </w:rPr>
        <w:t>Iemants</w:t>
      </w:r>
      <w:proofErr w:type="spellEnd"/>
      <w:r>
        <w:rPr>
          <w:rFonts w:eastAsia="Times New Roman"/>
          <w:color w:val="000000"/>
          <w:sz w:val="23"/>
          <w:lang w:val="fr-FR"/>
        </w:rPr>
        <w:t xml:space="preserve">, d'une part, et les sociétés VCF TP Lyon, Vinci construction maritime et fluvial et Lyonnaise d'éclairage, constitutives du groupement d'entreprises avec lequel la communauté urbaine de Lyon a conclu le 23 juillet 2012 un marché pour la </w:t>
      </w:r>
      <w:r>
        <w:rPr>
          <w:rFonts w:eastAsia="Times New Roman"/>
          <w:color w:val="000000"/>
          <w:sz w:val="23"/>
          <w:lang w:val="fr-FR"/>
        </w:rPr>
        <w:t xml:space="preserve">construction du pont Robert Schuman à Lyon, d'autre part, ont demandé au tribunal administratif de Lyon de condamner la métropole de Lyon, venue aux droits de la communauté urbaine de Lyon, à leur verser la somme de 763 755,98 euros revenant au groupement </w:t>
      </w:r>
      <w:r>
        <w:rPr>
          <w:rFonts w:eastAsia="Times New Roman"/>
          <w:color w:val="000000"/>
          <w:sz w:val="23"/>
          <w:lang w:val="fr-FR"/>
        </w:rPr>
        <w:t xml:space="preserve">au titre du règlement financier du marché et ayant par ailleurs fait l'objet d'un procès-verbal de saisie-attribution du 28 août 2015 pour couvrir la dette de la société </w:t>
      </w:r>
      <w:proofErr w:type="spellStart"/>
      <w:r>
        <w:rPr>
          <w:rFonts w:eastAsia="Times New Roman"/>
          <w:color w:val="000000"/>
          <w:sz w:val="23"/>
          <w:lang w:val="fr-FR"/>
        </w:rPr>
        <w:t>Cordioli</w:t>
      </w:r>
      <w:proofErr w:type="spellEnd"/>
      <w:r>
        <w:rPr>
          <w:rFonts w:eastAsia="Times New Roman"/>
          <w:color w:val="000000"/>
          <w:sz w:val="23"/>
          <w:lang w:val="fr-FR"/>
        </w:rPr>
        <w:t xml:space="preserve"> envers la société </w:t>
      </w:r>
      <w:proofErr w:type="spellStart"/>
      <w:r>
        <w:rPr>
          <w:rFonts w:eastAsia="Times New Roman"/>
          <w:color w:val="000000"/>
          <w:sz w:val="23"/>
          <w:lang w:val="fr-FR"/>
        </w:rPr>
        <w:t>Iemants</w:t>
      </w:r>
      <w:proofErr w:type="spellEnd"/>
      <w:r>
        <w:rPr>
          <w:rFonts w:eastAsia="Times New Roman"/>
          <w:color w:val="000000"/>
          <w:sz w:val="23"/>
          <w:lang w:val="fr-FR"/>
        </w:rPr>
        <w:t>.</w:t>
      </w:r>
    </w:p>
    <w:p w14:paraId="2A4C9037" w14:textId="77777777" w:rsidR="0063374B" w:rsidRDefault="00012AEC">
      <w:pPr>
        <w:spacing w:before="260" w:line="264" w:lineRule="exact"/>
        <w:ind w:left="648" w:right="72" w:firstLine="792"/>
        <w:jc w:val="both"/>
        <w:textAlignment w:val="baseline"/>
        <w:rPr>
          <w:rFonts w:eastAsia="Times New Roman"/>
          <w:color w:val="000000"/>
          <w:sz w:val="23"/>
          <w:lang w:val="fr-FR"/>
        </w:rPr>
      </w:pPr>
      <w:r>
        <w:rPr>
          <w:rFonts w:eastAsia="Times New Roman"/>
          <w:color w:val="000000"/>
          <w:sz w:val="23"/>
          <w:lang w:val="fr-FR"/>
        </w:rPr>
        <w:t xml:space="preserve">Par un jugement n's 1703604-1801847 du 17 octobre </w:t>
      </w:r>
      <w:r>
        <w:rPr>
          <w:rFonts w:eastAsia="Times New Roman"/>
          <w:color w:val="000000"/>
          <w:sz w:val="23"/>
          <w:lang w:val="fr-FR"/>
        </w:rPr>
        <w:t xml:space="preserve">2019 ce tribunal, après avoir joint ces demandes, a condamné la métropole de Lyon à verser à la société </w:t>
      </w:r>
      <w:proofErr w:type="spellStart"/>
      <w:r>
        <w:rPr>
          <w:rFonts w:eastAsia="Times New Roman"/>
          <w:color w:val="000000"/>
          <w:sz w:val="23"/>
          <w:lang w:val="fr-FR"/>
        </w:rPr>
        <w:t>Iemants</w:t>
      </w:r>
      <w:proofErr w:type="spellEnd"/>
      <w:r>
        <w:rPr>
          <w:rFonts w:eastAsia="Times New Roman"/>
          <w:color w:val="000000"/>
          <w:sz w:val="23"/>
          <w:lang w:val="fr-FR"/>
        </w:rPr>
        <w:t xml:space="preserve"> la somme de 656 812,99 euros TTC assortie des intérêts légaux à compter du 30 avril 2016 et a rejeté les conclusions des sociétés VCF TP Lyon, V</w:t>
      </w:r>
      <w:r>
        <w:rPr>
          <w:rFonts w:eastAsia="Times New Roman"/>
          <w:color w:val="000000"/>
          <w:sz w:val="23"/>
          <w:lang w:val="fr-FR"/>
        </w:rPr>
        <w:t>inci construction maritime et fluvial et Lyonnaise d' éclairage.</w:t>
      </w:r>
    </w:p>
    <w:p w14:paraId="56456040" w14:textId="77777777" w:rsidR="0063374B" w:rsidRDefault="00012AEC">
      <w:pPr>
        <w:spacing w:before="285" w:line="268" w:lineRule="exact"/>
        <w:ind w:left="1440"/>
        <w:textAlignment w:val="baseline"/>
        <w:rPr>
          <w:rFonts w:eastAsia="Times New Roman"/>
          <w:i/>
          <w:color w:val="000000"/>
          <w:sz w:val="23"/>
          <w:lang w:val="fr-FR"/>
        </w:rPr>
      </w:pPr>
      <w:r>
        <w:rPr>
          <w:rFonts w:eastAsia="Times New Roman"/>
          <w:i/>
          <w:color w:val="000000"/>
          <w:sz w:val="23"/>
          <w:lang w:val="fr-FR"/>
        </w:rPr>
        <w:t>Procédure devant la cour</w:t>
      </w:r>
    </w:p>
    <w:p w14:paraId="3E8A6206" w14:textId="77777777" w:rsidR="0063374B" w:rsidRDefault="00012AEC">
      <w:pPr>
        <w:spacing w:before="267" w:line="264" w:lineRule="exact"/>
        <w:ind w:left="648" w:right="72" w:firstLine="792"/>
        <w:jc w:val="both"/>
        <w:textAlignment w:val="baseline"/>
        <w:rPr>
          <w:rFonts w:eastAsia="Times New Roman"/>
          <w:color w:val="000000"/>
          <w:sz w:val="23"/>
          <w:lang w:val="fr-FR"/>
        </w:rPr>
      </w:pPr>
      <w:r>
        <w:rPr>
          <w:rFonts w:eastAsia="Times New Roman"/>
          <w:color w:val="000000"/>
          <w:sz w:val="23"/>
          <w:lang w:val="fr-FR"/>
        </w:rPr>
        <w:t xml:space="preserve">Par une requête enregistrée le 17 décembre 2019 et des mémoires enregistrés les 14 septembre et 26 octobre 2020, la société </w:t>
      </w:r>
      <w:proofErr w:type="spellStart"/>
      <w:r>
        <w:rPr>
          <w:rFonts w:eastAsia="Times New Roman"/>
          <w:color w:val="000000"/>
          <w:sz w:val="23"/>
          <w:lang w:val="fr-FR"/>
        </w:rPr>
        <w:t>Campenon</w:t>
      </w:r>
      <w:proofErr w:type="spellEnd"/>
      <w:r>
        <w:rPr>
          <w:rFonts w:eastAsia="Times New Roman"/>
          <w:color w:val="000000"/>
          <w:sz w:val="23"/>
          <w:lang w:val="fr-FR"/>
        </w:rPr>
        <w:t xml:space="preserve"> Bernard Centre-Est, venant aux droits de la société VCF TP Lyon, et les sociétés Vinci construction maritime et fluvial et </w:t>
      </w:r>
      <w:r>
        <w:rPr>
          <w:rFonts w:eastAsia="Times New Roman"/>
          <w:color w:val="000000"/>
          <w:sz w:val="23"/>
          <w:lang w:val="fr-FR"/>
        </w:rPr>
        <w:t>Lyonnaise d'éclairage, représentées par Me des Cars, demandent à la cour :</w:t>
      </w:r>
    </w:p>
    <w:p w14:paraId="5DDF53CC" w14:textId="77777777" w:rsidR="0063374B" w:rsidRDefault="00012AEC">
      <w:pPr>
        <w:spacing w:before="266" w:line="257" w:lineRule="exact"/>
        <w:ind w:left="1440"/>
        <w:textAlignment w:val="baseline"/>
        <w:rPr>
          <w:rFonts w:eastAsia="Times New Roman"/>
          <w:color w:val="000000"/>
          <w:sz w:val="23"/>
          <w:lang w:val="fr-FR"/>
        </w:rPr>
      </w:pPr>
      <w:r>
        <w:rPr>
          <w:rFonts w:eastAsia="Times New Roman"/>
          <w:color w:val="000000"/>
          <w:sz w:val="23"/>
          <w:lang w:val="fr-FR"/>
        </w:rPr>
        <w:t>1°) d'annuler ce jugement ;</w:t>
      </w:r>
    </w:p>
    <w:p w14:paraId="5B9EAE39" w14:textId="77777777" w:rsidR="0063374B" w:rsidRDefault="0063374B">
      <w:pPr>
        <w:sectPr w:rsidR="0063374B">
          <w:pgSz w:w="11923" w:h="16841"/>
          <w:pgMar w:top="1480" w:right="1096" w:bottom="1285" w:left="1107" w:header="720" w:footer="720" w:gutter="0"/>
          <w:cols w:space="720"/>
        </w:sectPr>
      </w:pPr>
    </w:p>
    <w:p w14:paraId="718E96DF" w14:textId="77777777" w:rsidR="0063374B" w:rsidRDefault="00012AEC">
      <w:pPr>
        <w:spacing w:line="260" w:lineRule="exact"/>
        <w:textAlignment w:val="baseline"/>
        <w:rPr>
          <w:rFonts w:eastAsia="Times New Roman"/>
          <w:color w:val="151915"/>
          <w:spacing w:val="-1"/>
          <w:sz w:val="23"/>
          <w:lang w:val="fr-FR"/>
        </w:rPr>
      </w:pPr>
      <w:r>
        <w:pict w14:anchorId="4F78DCE1">
          <v:shape id="_x0000_s1030" type="#_x0000_t202" style="position:absolute;margin-left:0;margin-top:0;width:596.15pt;height:842.05pt;z-index:-251661312;mso-position-horizontal-relative:page;mso-position-vertical-relative:page" fillcolor="#eceded" stroked="f">
            <v:textbox>
              <w:txbxContent>
                <w:p w14:paraId="2EACC6AE" w14:textId="77777777" w:rsidR="00000000" w:rsidRDefault="00012AEC"/>
              </w:txbxContent>
            </v:textbox>
            <w10:wrap anchorx="page" anchory="page"/>
          </v:shape>
        </w:pict>
      </w:r>
      <w:r>
        <w:rPr>
          <w:rFonts w:eastAsia="Times New Roman"/>
          <w:color w:val="151915"/>
          <w:spacing w:val="-1"/>
          <w:sz w:val="23"/>
          <w:lang w:val="fr-FR"/>
        </w:rPr>
        <w:t>N° 19LY04627</w:t>
      </w:r>
    </w:p>
    <w:p w14:paraId="063EE4DF" w14:textId="77777777" w:rsidR="0063374B" w:rsidRDefault="00012AEC">
      <w:pPr>
        <w:spacing w:before="280" w:line="262" w:lineRule="exact"/>
        <w:textAlignment w:val="baseline"/>
        <w:rPr>
          <w:rFonts w:eastAsia="Times New Roman"/>
          <w:color w:val="151915"/>
          <w:sz w:val="23"/>
          <w:lang w:val="fr-FR"/>
        </w:rPr>
      </w:pPr>
      <w:r>
        <w:rPr>
          <w:rFonts w:eastAsia="Times New Roman"/>
          <w:color w:val="151915"/>
          <w:sz w:val="23"/>
          <w:lang w:val="fr-FR"/>
        </w:rPr>
        <w:t>Délibéré après l'audience du 16 décembre 2021, à laquelle siégeaient :</w:t>
      </w:r>
    </w:p>
    <w:p w14:paraId="35DEFC3B" w14:textId="77777777" w:rsidR="0063374B" w:rsidRDefault="00012AEC">
      <w:pPr>
        <w:spacing w:before="268" w:line="262" w:lineRule="exact"/>
        <w:textAlignment w:val="baseline"/>
        <w:rPr>
          <w:rFonts w:eastAsia="Times New Roman"/>
          <w:color w:val="151915"/>
          <w:sz w:val="23"/>
          <w:lang w:val="fr-FR"/>
        </w:rPr>
      </w:pPr>
      <w:r>
        <w:rPr>
          <w:rFonts w:eastAsia="Times New Roman"/>
          <w:color w:val="151915"/>
          <w:sz w:val="23"/>
          <w:lang w:val="fr-FR"/>
        </w:rPr>
        <w:t>Mme Michel, présidente,</w:t>
      </w:r>
    </w:p>
    <w:p w14:paraId="467F2645" w14:textId="77777777" w:rsidR="0063374B" w:rsidRDefault="00012AEC">
      <w:pPr>
        <w:spacing w:before="8" w:line="262" w:lineRule="exact"/>
        <w:textAlignment w:val="baseline"/>
        <w:rPr>
          <w:rFonts w:eastAsia="Times New Roman"/>
          <w:color w:val="151915"/>
          <w:sz w:val="23"/>
          <w:lang w:val="fr-FR"/>
        </w:rPr>
      </w:pPr>
      <w:r>
        <w:rPr>
          <w:rFonts w:eastAsia="Times New Roman"/>
          <w:color w:val="151915"/>
          <w:sz w:val="23"/>
          <w:lang w:val="fr-FR"/>
        </w:rPr>
        <w:t>Mme Duguit-Larcher, première conseillère,</w:t>
      </w:r>
    </w:p>
    <w:p w14:paraId="16EBFFCF" w14:textId="77777777" w:rsidR="0063374B" w:rsidRDefault="00012AEC">
      <w:pPr>
        <w:spacing w:before="5" w:line="262" w:lineRule="exact"/>
        <w:textAlignment w:val="baseline"/>
        <w:rPr>
          <w:rFonts w:eastAsia="Times New Roman"/>
          <w:color w:val="151915"/>
          <w:sz w:val="23"/>
          <w:lang w:val="fr-FR"/>
        </w:rPr>
      </w:pPr>
      <w:r>
        <w:rPr>
          <w:rFonts w:eastAsia="Times New Roman"/>
          <w:color w:val="151915"/>
          <w:sz w:val="23"/>
          <w:lang w:val="fr-FR"/>
        </w:rPr>
        <w:t>M. Rivière, premier conseiller.</w:t>
      </w:r>
    </w:p>
    <w:p w14:paraId="76C15A66" w14:textId="77777777" w:rsidR="0063374B" w:rsidRDefault="00012AEC">
      <w:pPr>
        <w:spacing w:before="268" w:line="265" w:lineRule="exact"/>
        <w:textAlignment w:val="baseline"/>
        <w:rPr>
          <w:rFonts w:eastAsia="Times New Roman"/>
          <w:color w:val="151915"/>
          <w:sz w:val="23"/>
          <w:lang w:val="fr-FR"/>
        </w:rPr>
      </w:pPr>
      <w:r>
        <w:rPr>
          <w:rFonts w:eastAsia="Times New Roman"/>
          <w:color w:val="151915"/>
          <w:sz w:val="23"/>
          <w:lang w:val="fr-FR"/>
        </w:rPr>
        <w:t>Rendu public par mise à disposition au greffe le 25 janvier 2022.</w:t>
      </w:r>
    </w:p>
    <w:p w14:paraId="72B5EFB7" w14:textId="77777777" w:rsidR="0063374B" w:rsidRDefault="00012AEC">
      <w:pPr>
        <w:tabs>
          <w:tab w:val="left" w:pos="6048"/>
        </w:tabs>
        <w:spacing w:before="533" w:line="262" w:lineRule="exact"/>
        <w:ind w:left="1512"/>
        <w:textAlignment w:val="baseline"/>
        <w:rPr>
          <w:rFonts w:eastAsia="Times New Roman"/>
          <w:color w:val="151915"/>
          <w:sz w:val="23"/>
          <w:lang w:val="fr-FR"/>
        </w:rPr>
      </w:pPr>
      <w:r>
        <w:rPr>
          <w:rFonts w:eastAsia="Times New Roman"/>
          <w:color w:val="151915"/>
          <w:sz w:val="23"/>
          <w:lang w:val="fr-FR"/>
        </w:rPr>
        <w:t>Le rapporteur,</w:t>
      </w:r>
      <w:r>
        <w:rPr>
          <w:rFonts w:eastAsia="Times New Roman"/>
          <w:color w:val="151915"/>
          <w:sz w:val="23"/>
          <w:lang w:val="fr-FR"/>
        </w:rPr>
        <w:tab/>
        <w:t>La pré</w:t>
      </w:r>
      <w:r>
        <w:rPr>
          <w:rFonts w:eastAsia="Times New Roman"/>
          <w:color w:val="151915"/>
          <w:sz w:val="23"/>
          <w:lang w:val="fr-FR"/>
        </w:rPr>
        <w:t>sidente,</w:t>
      </w:r>
    </w:p>
    <w:p w14:paraId="48BA38A4" w14:textId="77777777" w:rsidR="0063374B" w:rsidRDefault="00012AEC">
      <w:pPr>
        <w:tabs>
          <w:tab w:val="left" w:pos="6264"/>
        </w:tabs>
        <w:spacing w:before="1323" w:line="262" w:lineRule="exact"/>
        <w:ind w:left="1728"/>
        <w:textAlignment w:val="baseline"/>
        <w:rPr>
          <w:rFonts w:eastAsia="Times New Roman"/>
          <w:color w:val="151915"/>
          <w:sz w:val="23"/>
          <w:lang w:val="fr-FR"/>
        </w:rPr>
      </w:pPr>
      <w:r>
        <w:rPr>
          <w:rFonts w:eastAsia="Times New Roman"/>
          <w:color w:val="151915"/>
          <w:sz w:val="23"/>
          <w:lang w:val="fr-FR"/>
        </w:rPr>
        <w:t>C. Rivière</w:t>
      </w:r>
      <w:r>
        <w:rPr>
          <w:rFonts w:eastAsia="Times New Roman"/>
          <w:color w:val="151915"/>
          <w:sz w:val="23"/>
          <w:lang w:val="fr-FR"/>
        </w:rPr>
        <w:tab/>
        <w:t>C. Michel</w:t>
      </w:r>
    </w:p>
    <w:p w14:paraId="2B1BBA7B" w14:textId="77777777" w:rsidR="0063374B" w:rsidRDefault="00012AEC">
      <w:pPr>
        <w:spacing w:before="268" w:line="262" w:lineRule="exact"/>
        <w:jc w:val="center"/>
        <w:textAlignment w:val="baseline"/>
        <w:rPr>
          <w:rFonts w:eastAsia="Times New Roman"/>
          <w:color w:val="151915"/>
          <w:sz w:val="23"/>
          <w:lang w:val="fr-FR"/>
        </w:rPr>
      </w:pPr>
      <w:r>
        <w:rPr>
          <w:rFonts w:eastAsia="Times New Roman"/>
          <w:color w:val="151915"/>
          <w:sz w:val="23"/>
          <w:lang w:val="fr-FR"/>
        </w:rPr>
        <w:t>Le greffier,</w:t>
      </w:r>
    </w:p>
    <w:p w14:paraId="61CDBE6C" w14:textId="77777777" w:rsidR="0063374B" w:rsidRDefault="00012AEC">
      <w:pPr>
        <w:spacing w:before="1335" w:line="262" w:lineRule="exact"/>
        <w:jc w:val="center"/>
        <w:textAlignment w:val="baseline"/>
        <w:rPr>
          <w:rFonts w:eastAsia="Times New Roman"/>
          <w:color w:val="151915"/>
          <w:sz w:val="23"/>
          <w:lang w:val="fr-FR"/>
        </w:rPr>
      </w:pPr>
      <w:r>
        <w:rPr>
          <w:rFonts w:eastAsia="Times New Roman"/>
          <w:color w:val="151915"/>
          <w:sz w:val="23"/>
          <w:lang w:val="fr-FR"/>
        </w:rPr>
        <w:t>J. Billot</w:t>
      </w:r>
    </w:p>
    <w:p w14:paraId="2D0F28DA" w14:textId="77777777" w:rsidR="0063374B" w:rsidRDefault="00012AEC">
      <w:pPr>
        <w:spacing w:before="548" w:line="262" w:lineRule="exact"/>
        <w:jc w:val="both"/>
        <w:textAlignment w:val="baseline"/>
        <w:rPr>
          <w:rFonts w:eastAsia="Times New Roman"/>
          <w:color w:val="151915"/>
          <w:sz w:val="23"/>
          <w:lang w:val="fr-FR"/>
        </w:rPr>
      </w:pPr>
      <w:r>
        <w:rPr>
          <w:rFonts w:eastAsia="Times New Roman"/>
          <w:color w:val="151915"/>
          <w:sz w:val="23"/>
          <w:lang w:val="fr-FR"/>
        </w:rPr>
        <w:t>La République mande et ordonne à la ministre de la cohésion des territoires et des relations avec les collectivités territoriales, en ce qui la concerne ou à tous huissiers de justice à ce requis en ce q</w:t>
      </w:r>
      <w:r>
        <w:rPr>
          <w:rFonts w:eastAsia="Times New Roman"/>
          <w:color w:val="151915"/>
          <w:sz w:val="23"/>
          <w:lang w:val="fr-FR"/>
        </w:rPr>
        <w:t>ui concerne les voies de droit commun contre les parties privées, de pourvoir à l'exécution de la présente décision.</w:t>
      </w:r>
    </w:p>
    <w:p w14:paraId="399EF116" w14:textId="77777777" w:rsidR="0063374B" w:rsidRDefault="00012AEC">
      <w:pPr>
        <w:spacing w:before="255" w:line="263" w:lineRule="exact"/>
        <w:textAlignment w:val="baseline"/>
        <w:rPr>
          <w:rFonts w:eastAsia="Times New Roman"/>
          <w:color w:val="151915"/>
          <w:sz w:val="23"/>
          <w:lang w:val="fr-FR"/>
        </w:rPr>
      </w:pPr>
      <w:r>
        <w:rPr>
          <w:rFonts w:eastAsia="Times New Roman"/>
          <w:color w:val="151915"/>
          <w:sz w:val="23"/>
          <w:lang w:val="fr-FR"/>
        </w:rPr>
        <w:t xml:space="preserve">Pour expédition, </w:t>
      </w:r>
      <w:r>
        <w:rPr>
          <w:rFonts w:eastAsia="Times New Roman"/>
          <w:color w:val="151915"/>
          <w:sz w:val="23"/>
          <w:lang w:val="fr-FR"/>
        </w:rPr>
        <w:br/>
        <w:t>Le greffier,</w:t>
      </w:r>
    </w:p>
    <w:p w14:paraId="2193B42F" w14:textId="77777777" w:rsidR="0063374B" w:rsidRDefault="0063374B">
      <w:pPr>
        <w:sectPr w:rsidR="0063374B">
          <w:pgSz w:w="11923" w:h="16841"/>
          <w:pgMar w:top="7340" w:right="1202" w:bottom="70" w:left="1681" w:header="720" w:footer="720" w:gutter="0"/>
          <w:cols w:space="720"/>
        </w:sectPr>
      </w:pPr>
    </w:p>
    <w:p w14:paraId="3A7424B9" w14:textId="77777777" w:rsidR="0063374B" w:rsidRDefault="00012AEC">
      <w:pPr>
        <w:tabs>
          <w:tab w:val="right" w:pos="8928"/>
        </w:tabs>
        <w:spacing w:before="16" w:line="262" w:lineRule="exact"/>
        <w:textAlignment w:val="baseline"/>
        <w:rPr>
          <w:rFonts w:eastAsia="Times New Roman"/>
          <w:color w:val="000000"/>
          <w:sz w:val="23"/>
          <w:lang w:val="fr-FR"/>
        </w:rPr>
      </w:pPr>
      <w:r>
        <w:pict w14:anchorId="6ABE7B1A">
          <v:shape id="_x0000_s1029" type="#_x0000_t202" style="position:absolute;margin-left:0;margin-top:0;width:596.15pt;height:842.05pt;z-index:-251660288;mso-position-horizontal-relative:page;mso-position-vertical-relative:page" fillcolor="#ececec" stroked="f">
            <v:textbox>
              <w:txbxContent>
                <w:p w14:paraId="288D6911" w14:textId="77777777" w:rsidR="00000000" w:rsidRDefault="00012AEC"/>
              </w:txbxContent>
            </v:textbox>
            <w10:wrap anchorx="page" anchory="page"/>
          </v:shape>
        </w:pict>
      </w:r>
      <w:r>
        <w:rPr>
          <w:rFonts w:eastAsia="Times New Roman"/>
          <w:color w:val="000000"/>
          <w:sz w:val="23"/>
          <w:lang w:val="fr-FR"/>
        </w:rPr>
        <w:t>N° 19LY04627</w:t>
      </w:r>
      <w:r>
        <w:rPr>
          <w:rFonts w:eastAsia="Times New Roman"/>
          <w:color w:val="000000"/>
          <w:sz w:val="23"/>
          <w:lang w:val="fr-FR"/>
        </w:rPr>
        <w:tab/>
        <w:t>3</w:t>
      </w:r>
    </w:p>
    <w:p w14:paraId="14B1A926" w14:textId="77777777" w:rsidR="0063374B" w:rsidRDefault="00012AEC">
      <w:pPr>
        <w:spacing w:before="293" w:line="262" w:lineRule="exact"/>
        <w:ind w:left="864"/>
        <w:textAlignment w:val="baseline"/>
        <w:rPr>
          <w:rFonts w:eastAsia="Times New Roman"/>
          <w:color w:val="000000"/>
          <w:spacing w:val="-2"/>
          <w:sz w:val="23"/>
          <w:lang w:val="fr-FR"/>
        </w:rPr>
      </w:pPr>
      <w:r>
        <w:rPr>
          <w:rFonts w:eastAsia="Times New Roman"/>
          <w:color w:val="000000"/>
          <w:spacing w:val="-2"/>
          <w:sz w:val="23"/>
          <w:lang w:val="fr-FR"/>
        </w:rPr>
        <w:t>Elle fait valoir que :</w:t>
      </w:r>
    </w:p>
    <w:p w14:paraId="7EB2C568" w14:textId="77777777" w:rsidR="0063374B" w:rsidRDefault="00012AEC">
      <w:pPr>
        <w:numPr>
          <w:ilvl w:val="0"/>
          <w:numId w:val="1"/>
        </w:numPr>
        <w:tabs>
          <w:tab w:val="clear" w:pos="216"/>
          <w:tab w:val="left" w:pos="1080"/>
        </w:tabs>
        <w:spacing w:line="266" w:lineRule="exact"/>
        <w:ind w:left="0" w:right="72" w:firstLine="864"/>
        <w:jc w:val="both"/>
        <w:textAlignment w:val="baseline"/>
        <w:rPr>
          <w:rFonts w:eastAsia="Times New Roman"/>
          <w:color w:val="000000"/>
          <w:sz w:val="23"/>
          <w:lang w:val="fr-FR"/>
        </w:rPr>
      </w:pPr>
      <w:r>
        <w:rPr>
          <w:rFonts w:eastAsia="Times New Roman"/>
          <w:color w:val="000000"/>
          <w:sz w:val="23"/>
          <w:lang w:val="fr-FR"/>
        </w:rPr>
        <w:t xml:space="preserve">la société </w:t>
      </w:r>
      <w:proofErr w:type="spellStart"/>
      <w:r>
        <w:rPr>
          <w:rFonts w:eastAsia="Times New Roman"/>
          <w:color w:val="000000"/>
          <w:sz w:val="23"/>
          <w:lang w:val="fr-FR"/>
        </w:rPr>
        <w:t>Cordioli</w:t>
      </w:r>
      <w:proofErr w:type="spellEnd"/>
      <w:r>
        <w:rPr>
          <w:rFonts w:eastAsia="Times New Roman"/>
          <w:color w:val="000000"/>
          <w:sz w:val="23"/>
          <w:lang w:val="fr-FR"/>
        </w:rPr>
        <w:t>, qui était partie au protocole conclu le 24 mars 2016, a consenti à la société VCF TP Lyon une cession de créance qui n'a pas été signifiée à son comptable assignataire et lui est donc inopposable ;</w:t>
      </w:r>
    </w:p>
    <w:p w14:paraId="2B4C263C" w14:textId="77777777" w:rsidR="0063374B" w:rsidRDefault="00012AEC">
      <w:pPr>
        <w:numPr>
          <w:ilvl w:val="0"/>
          <w:numId w:val="1"/>
        </w:numPr>
        <w:tabs>
          <w:tab w:val="clear" w:pos="216"/>
          <w:tab w:val="left" w:pos="1080"/>
        </w:tabs>
        <w:spacing w:line="267" w:lineRule="exact"/>
        <w:ind w:left="0" w:right="72" w:firstLine="864"/>
        <w:jc w:val="both"/>
        <w:textAlignment w:val="baseline"/>
        <w:rPr>
          <w:rFonts w:eastAsia="Times New Roman"/>
          <w:color w:val="000000"/>
          <w:sz w:val="23"/>
          <w:lang w:val="fr-FR"/>
        </w:rPr>
      </w:pPr>
      <w:r>
        <w:rPr>
          <w:rFonts w:eastAsia="Times New Roman"/>
          <w:color w:val="000000"/>
          <w:sz w:val="23"/>
          <w:lang w:val="fr-FR"/>
        </w:rPr>
        <w:t>en tout état de cause, les appelantes</w:t>
      </w:r>
      <w:r>
        <w:rPr>
          <w:rFonts w:eastAsia="Times New Roman"/>
          <w:color w:val="000000"/>
          <w:sz w:val="23"/>
          <w:lang w:val="fr-FR"/>
        </w:rPr>
        <w:t xml:space="preserve"> n'établissent pas la concomitance de la subrogation alléguée et du paiement ;</w:t>
      </w:r>
    </w:p>
    <w:p w14:paraId="2363A497" w14:textId="77777777" w:rsidR="0063374B" w:rsidRDefault="00012AEC">
      <w:pPr>
        <w:numPr>
          <w:ilvl w:val="0"/>
          <w:numId w:val="1"/>
        </w:numPr>
        <w:tabs>
          <w:tab w:val="clear" w:pos="216"/>
          <w:tab w:val="left" w:pos="1080"/>
        </w:tabs>
        <w:spacing w:before="1" w:line="262" w:lineRule="exact"/>
        <w:ind w:left="864"/>
        <w:jc w:val="both"/>
        <w:textAlignment w:val="baseline"/>
        <w:rPr>
          <w:rFonts w:eastAsia="Times New Roman"/>
          <w:color w:val="000000"/>
          <w:spacing w:val="-1"/>
          <w:sz w:val="23"/>
          <w:lang w:val="fr-FR"/>
        </w:rPr>
      </w:pPr>
      <w:r>
        <w:rPr>
          <w:rFonts w:eastAsia="Times New Roman"/>
          <w:color w:val="000000"/>
          <w:spacing w:val="-1"/>
          <w:sz w:val="23"/>
          <w:lang w:val="fr-FR"/>
        </w:rPr>
        <w:t>elles ont méconnu le principe de loyauté contractuelle.</w:t>
      </w:r>
    </w:p>
    <w:p w14:paraId="40ADF1B3" w14:textId="77777777" w:rsidR="0063374B" w:rsidRDefault="00012AEC">
      <w:pPr>
        <w:spacing w:before="540" w:line="267" w:lineRule="exact"/>
        <w:ind w:right="72" w:firstLine="864"/>
        <w:jc w:val="both"/>
        <w:textAlignment w:val="baseline"/>
        <w:rPr>
          <w:rFonts w:eastAsia="Times New Roman"/>
          <w:color w:val="000000"/>
          <w:sz w:val="23"/>
          <w:lang w:val="fr-FR"/>
        </w:rPr>
      </w:pPr>
      <w:r>
        <w:rPr>
          <w:rFonts w:eastAsia="Times New Roman"/>
          <w:color w:val="000000"/>
          <w:sz w:val="23"/>
          <w:lang w:val="fr-FR"/>
        </w:rPr>
        <w:t>Par lettres du 10 novembre 2021, les parties ont été informées, en application de l'article R. 611-7 du code de justice a</w:t>
      </w:r>
      <w:r>
        <w:rPr>
          <w:rFonts w:eastAsia="Times New Roman"/>
          <w:color w:val="000000"/>
          <w:sz w:val="23"/>
          <w:lang w:val="fr-FR"/>
        </w:rPr>
        <w:t xml:space="preserve">dministrative, de ce que l'arrêt était susceptible d'être fondé sur le moyen, relevé d'office, tiré de l'irrecevabilité des conclusions de la société </w:t>
      </w:r>
      <w:proofErr w:type="spellStart"/>
      <w:r>
        <w:rPr>
          <w:rFonts w:eastAsia="Times New Roman"/>
          <w:color w:val="000000"/>
          <w:sz w:val="23"/>
          <w:lang w:val="fr-FR"/>
        </w:rPr>
        <w:t>Iemants</w:t>
      </w:r>
      <w:proofErr w:type="spellEnd"/>
      <w:r>
        <w:rPr>
          <w:rFonts w:eastAsia="Times New Roman"/>
          <w:color w:val="000000"/>
          <w:sz w:val="23"/>
          <w:lang w:val="fr-FR"/>
        </w:rPr>
        <w:t xml:space="preserve"> tendant à la condamnation de la métropole de Lyon et de son comptable public à la rembourser des d</w:t>
      </w:r>
      <w:r>
        <w:rPr>
          <w:rFonts w:eastAsia="Times New Roman"/>
          <w:color w:val="000000"/>
          <w:sz w:val="23"/>
          <w:lang w:val="fr-FR"/>
        </w:rPr>
        <w:t>épens de la saisie-attribution et des frais de recouvrement, nouvelles en appel.</w:t>
      </w:r>
    </w:p>
    <w:p w14:paraId="6C1E2662" w14:textId="77777777" w:rsidR="0063374B" w:rsidRDefault="00012AEC">
      <w:pPr>
        <w:spacing w:before="535" w:line="262" w:lineRule="exact"/>
        <w:ind w:left="72" w:right="72" w:firstLine="792"/>
        <w:jc w:val="both"/>
        <w:textAlignment w:val="baseline"/>
        <w:rPr>
          <w:rFonts w:eastAsia="Times New Roman"/>
          <w:color w:val="000000"/>
          <w:sz w:val="23"/>
          <w:lang w:val="fr-FR"/>
        </w:rPr>
      </w:pPr>
      <w:r>
        <w:rPr>
          <w:rFonts w:eastAsia="Times New Roman"/>
          <w:color w:val="000000"/>
          <w:sz w:val="23"/>
          <w:lang w:val="fr-FR"/>
        </w:rPr>
        <w:t xml:space="preserve">Les sociétés </w:t>
      </w:r>
      <w:proofErr w:type="spellStart"/>
      <w:r>
        <w:rPr>
          <w:rFonts w:eastAsia="Times New Roman"/>
          <w:color w:val="000000"/>
          <w:sz w:val="23"/>
          <w:lang w:val="fr-FR"/>
        </w:rPr>
        <w:t>Iemants</w:t>
      </w:r>
      <w:proofErr w:type="spellEnd"/>
      <w:r>
        <w:rPr>
          <w:rFonts w:eastAsia="Times New Roman"/>
          <w:color w:val="000000"/>
          <w:sz w:val="23"/>
          <w:lang w:val="fr-FR"/>
        </w:rPr>
        <w:t xml:space="preserve">, </w:t>
      </w:r>
      <w:proofErr w:type="spellStart"/>
      <w:r>
        <w:rPr>
          <w:rFonts w:eastAsia="Times New Roman"/>
          <w:color w:val="000000"/>
          <w:sz w:val="23"/>
          <w:lang w:val="fr-FR"/>
        </w:rPr>
        <w:t>Campenon</w:t>
      </w:r>
      <w:proofErr w:type="spellEnd"/>
      <w:r>
        <w:rPr>
          <w:rFonts w:eastAsia="Times New Roman"/>
          <w:color w:val="000000"/>
          <w:sz w:val="23"/>
          <w:lang w:val="fr-FR"/>
        </w:rPr>
        <w:t xml:space="preserve"> Bernard Centre-Est, Vinci construction maritime et fluvial et Lyonnaise d'éclairage ont produit des mémoires en réponse à ce moyen d'ordre public, enregistrés les 12 et 17 novembre 2021.</w:t>
      </w:r>
    </w:p>
    <w:p w14:paraId="5BB36CF2" w14:textId="77777777" w:rsidR="0063374B" w:rsidRDefault="00012AEC">
      <w:pPr>
        <w:spacing w:before="551" w:line="262" w:lineRule="exact"/>
        <w:ind w:left="864"/>
        <w:textAlignment w:val="baseline"/>
        <w:rPr>
          <w:rFonts w:eastAsia="Times New Roman"/>
          <w:color w:val="000000"/>
          <w:sz w:val="23"/>
          <w:lang w:val="fr-FR"/>
        </w:rPr>
      </w:pPr>
      <w:r>
        <w:rPr>
          <w:rFonts w:eastAsia="Times New Roman"/>
          <w:color w:val="000000"/>
          <w:sz w:val="23"/>
          <w:lang w:val="fr-FR"/>
        </w:rPr>
        <w:t>Vu les autres pièces du dossier ;</w:t>
      </w:r>
    </w:p>
    <w:p w14:paraId="0D6756C2" w14:textId="77777777" w:rsidR="0063374B" w:rsidRDefault="00012AEC">
      <w:pPr>
        <w:spacing w:before="271" w:line="262" w:lineRule="exact"/>
        <w:ind w:left="864"/>
        <w:textAlignment w:val="baseline"/>
        <w:rPr>
          <w:rFonts w:eastAsia="Times New Roman"/>
          <w:color w:val="000000"/>
          <w:spacing w:val="9"/>
          <w:sz w:val="23"/>
          <w:lang w:val="fr-FR"/>
        </w:rPr>
      </w:pPr>
      <w:r>
        <w:rPr>
          <w:rFonts w:eastAsia="Times New Roman"/>
          <w:color w:val="000000"/>
          <w:spacing w:val="9"/>
          <w:sz w:val="23"/>
          <w:lang w:val="fr-FR"/>
        </w:rPr>
        <w:t>Vu:</w:t>
      </w:r>
    </w:p>
    <w:p w14:paraId="507817F5" w14:textId="77777777" w:rsidR="0063374B" w:rsidRDefault="00012AEC">
      <w:pPr>
        <w:numPr>
          <w:ilvl w:val="0"/>
          <w:numId w:val="1"/>
        </w:numPr>
        <w:tabs>
          <w:tab w:val="clear" w:pos="216"/>
          <w:tab w:val="left" w:pos="1080"/>
        </w:tabs>
        <w:spacing w:before="8" w:line="262" w:lineRule="exact"/>
        <w:ind w:left="864"/>
        <w:textAlignment w:val="baseline"/>
        <w:rPr>
          <w:rFonts w:eastAsia="Times New Roman"/>
          <w:color w:val="000000"/>
          <w:spacing w:val="-2"/>
          <w:sz w:val="23"/>
          <w:lang w:val="fr-FR"/>
        </w:rPr>
      </w:pPr>
      <w:r>
        <w:rPr>
          <w:rFonts w:eastAsia="Times New Roman"/>
          <w:color w:val="000000"/>
          <w:spacing w:val="-2"/>
          <w:sz w:val="23"/>
          <w:lang w:val="fr-FR"/>
        </w:rPr>
        <w:t>le code civil ;</w:t>
      </w:r>
    </w:p>
    <w:p w14:paraId="2A3BF6C9" w14:textId="77777777" w:rsidR="0063374B" w:rsidRDefault="00012AEC">
      <w:pPr>
        <w:numPr>
          <w:ilvl w:val="0"/>
          <w:numId w:val="1"/>
        </w:numPr>
        <w:tabs>
          <w:tab w:val="clear" w:pos="216"/>
          <w:tab w:val="left" w:pos="1080"/>
        </w:tabs>
        <w:spacing w:before="4" w:line="260" w:lineRule="exact"/>
        <w:ind w:left="864"/>
        <w:textAlignment w:val="baseline"/>
        <w:rPr>
          <w:rFonts w:eastAsia="Times New Roman"/>
          <w:color w:val="000000"/>
          <w:sz w:val="23"/>
          <w:lang w:val="fr-FR"/>
        </w:rPr>
      </w:pPr>
      <w:r>
        <w:rPr>
          <w:rFonts w:eastAsia="Times New Roman"/>
          <w:color w:val="000000"/>
          <w:sz w:val="23"/>
          <w:lang w:val="fr-FR"/>
        </w:rPr>
        <w:t xml:space="preserve">le code des marchés publics ; </w:t>
      </w:r>
      <w:r>
        <w:rPr>
          <w:rFonts w:eastAsia="Times New Roman"/>
          <w:color w:val="000000"/>
          <w:sz w:val="23"/>
          <w:lang w:val="fr-FR"/>
        </w:rPr>
        <w:br/>
        <w:t>— le code de justice administrative ;</w:t>
      </w:r>
    </w:p>
    <w:p w14:paraId="59773C42" w14:textId="77777777" w:rsidR="0063374B" w:rsidRDefault="00012AEC">
      <w:pPr>
        <w:spacing w:before="1" w:line="537" w:lineRule="exact"/>
        <w:ind w:left="864" w:right="2088"/>
        <w:textAlignment w:val="baseline"/>
        <w:rPr>
          <w:rFonts w:eastAsia="Times New Roman"/>
          <w:color w:val="000000"/>
          <w:sz w:val="23"/>
          <w:lang w:val="fr-FR"/>
        </w:rPr>
      </w:pPr>
      <w:r>
        <w:rPr>
          <w:rFonts w:eastAsia="Times New Roman"/>
          <w:color w:val="000000"/>
          <w:sz w:val="23"/>
          <w:lang w:val="fr-FR"/>
        </w:rPr>
        <w:t>Les parties ayant été régulièrement averties du jour de l'audience ; Après avoir entendu au cours de l'audience publique :</w:t>
      </w:r>
    </w:p>
    <w:p w14:paraId="4E4F9581" w14:textId="77777777" w:rsidR="0063374B" w:rsidRDefault="00012AEC">
      <w:pPr>
        <w:spacing w:before="268" w:line="262" w:lineRule="exact"/>
        <w:ind w:left="864"/>
        <w:textAlignment w:val="baseline"/>
        <w:rPr>
          <w:rFonts w:eastAsia="Times New Roman"/>
          <w:color w:val="000000"/>
          <w:spacing w:val="-4"/>
          <w:sz w:val="23"/>
          <w:lang w:val="fr-FR"/>
        </w:rPr>
      </w:pPr>
      <w:r>
        <w:rPr>
          <w:rFonts w:eastAsia="Times New Roman"/>
          <w:color w:val="000000"/>
          <w:spacing w:val="-4"/>
          <w:sz w:val="23"/>
          <w:lang w:val="fr-FR"/>
        </w:rPr>
        <w:t>— le rapport de M. Rivière ;</w:t>
      </w:r>
    </w:p>
    <w:p w14:paraId="5E27546C" w14:textId="77777777" w:rsidR="0063374B" w:rsidRDefault="00012AEC">
      <w:pPr>
        <w:numPr>
          <w:ilvl w:val="0"/>
          <w:numId w:val="1"/>
        </w:numPr>
        <w:tabs>
          <w:tab w:val="clear" w:pos="216"/>
          <w:tab w:val="left" w:pos="1080"/>
        </w:tabs>
        <w:spacing w:before="6" w:line="262" w:lineRule="exact"/>
        <w:ind w:left="864"/>
        <w:textAlignment w:val="baseline"/>
        <w:rPr>
          <w:rFonts w:eastAsia="Times New Roman"/>
          <w:color w:val="000000"/>
          <w:sz w:val="23"/>
          <w:lang w:val="fr-FR"/>
        </w:rPr>
      </w:pPr>
      <w:r>
        <w:rPr>
          <w:rFonts w:eastAsia="Times New Roman"/>
          <w:color w:val="000000"/>
          <w:sz w:val="23"/>
          <w:lang w:val="fr-FR"/>
        </w:rPr>
        <w:t>les conclusions de M. Savouré, rapporteur public ;</w:t>
      </w:r>
    </w:p>
    <w:p w14:paraId="25DE95EB" w14:textId="77777777" w:rsidR="0063374B" w:rsidRDefault="00012AEC">
      <w:pPr>
        <w:numPr>
          <w:ilvl w:val="0"/>
          <w:numId w:val="1"/>
        </w:numPr>
        <w:tabs>
          <w:tab w:val="clear" w:pos="216"/>
          <w:tab w:val="left" w:pos="1080"/>
        </w:tabs>
        <w:spacing w:before="4" w:line="262" w:lineRule="exact"/>
        <w:ind w:left="72" w:firstLine="792"/>
        <w:jc w:val="both"/>
        <w:textAlignment w:val="baseline"/>
        <w:rPr>
          <w:rFonts w:eastAsia="Times New Roman"/>
          <w:color w:val="000000"/>
          <w:sz w:val="23"/>
          <w:lang w:val="fr-FR"/>
        </w:rPr>
      </w:pPr>
      <w:r>
        <w:rPr>
          <w:rFonts w:eastAsia="Times New Roman"/>
          <w:color w:val="000000"/>
          <w:sz w:val="23"/>
          <w:lang w:val="fr-FR"/>
        </w:rPr>
        <w:t xml:space="preserve">et les observations de Me Lefebvre pour la société </w:t>
      </w:r>
      <w:proofErr w:type="spellStart"/>
      <w:r>
        <w:rPr>
          <w:rFonts w:eastAsia="Times New Roman"/>
          <w:color w:val="000000"/>
          <w:sz w:val="23"/>
          <w:lang w:val="fr-FR"/>
        </w:rPr>
        <w:t>Campenon</w:t>
      </w:r>
      <w:proofErr w:type="spellEnd"/>
      <w:r>
        <w:rPr>
          <w:rFonts w:eastAsia="Times New Roman"/>
          <w:color w:val="000000"/>
          <w:sz w:val="23"/>
          <w:lang w:val="fr-FR"/>
        </w:rPr>
        <w:t xml:space="preserve"> Bernard Centre-Est, celles de Me Michelin pour la métropole de Lyon et celles de Me Charpentier Mavrinac pour la société </w:t>
      </w:r>
      <w:proofErr w:type="spellStart"/>
      <w:r>
        <w:rPr>
          <w:rFonts w:eastAsia="Times New Roman"/>
          <w:color w:val="000000"/>
          <w:sz w:val="23"/>
          <w:lang w:val="fr-FR"/>
        </w:rPr>
        <w:t>Iiemants</w:t>
      </w:r>
      <w:proofErr w:type="spellEnd"/>
      <w:r>
        <w:rPr>
          <w:rFonts w:eastAsia="Times New Roman"/>
          <w:color w:val="000000"/>
          <w:sz w:val="23"/>
          <w:lang w:val="fr-FR"/>
        </w:rPr>
        <w:t xml:space="preserve"> ;</w:t>
      </w:r>
    </w:p>
    <w:p w14:paraId="672A1450" w14:textId="77777777" w:rsidR="0063374B" w:rsidRDefault="00012AEC">
      <w:pPr>
        <w:spacing w:before="546" w:line="257" w:lineRule="exact"/>
        <w:ind w:left="72" w:firstLine="792"/>
        <w:jc w:val="both"/>
        <w:textAlignment w:val="baseline"/>
        <w:rPr>
          <w:rFonts w:eastAsia="Times New Roman"/>
          <w:color w:val="000000"/>
          <w:sz w:val="23"/>
          <w:lang w:val="fr-FR"/>
        </w:rPr>
      </w:pPr>
      <w:r>
        <w:rPr>
          <w:rFonts w:eastAsia="Times New Roman"/>
          <w:color w:val="000000"/>
          <w:sz w:val="23"/>
          <w:lang w:val="fr-FR"/>
        </w:rPr>
        <w:t xml:space="preserve">Et avoir pris connaissance de la note en délibéré présentée pour la société </w:t>
      </w:r>
      <w:proofErr w:type="spellStart"/>
      <w:r>
        <w:rPr>
          <w:rFonts w:eastAsia="Times New Roman"/>
          <w:color w:val="000000"/>
          <w:sz w:val="23"/>
          <w:lang w:val="fr-FR"/>
        </w:rPr>
        <w:t>Campenon</w:t>
      </w:r>
      <w:proofErr w:type="spellEnd"/>
      <w:r>
        <w:rPr>
          <w:rFonts w:eastAsia="Times New Roman"/>
          <w:color w:val="000000"/>
          <w:sz w:val="23"/>
          <w:lang w:val="fr-FR"/>
        </w:rPr>
        <w:t xml:space="preserve"> Bernard Centre-Est, enregistrée le 16 décembre 2021.</w:t>
      </w:r>
    </w:p>
    <w:p w14:paraId="545A26E4" w14:textId="77777777" w:rsidR="0063374B" w:rsidRDefault="00012AEC">
      <w:pPr>
        <w:spacing w:before="535" w:line="262" w:lineRule="exact"/>
        <w:ind w:left="864"/>
        <w:textAlignment w:val="baseline"/>
        <w:rPr>
          <w:rFonts w:eastAsia="Times New Roman"/>
          <w:color w:val="000000"/>
          <w:sz w:val="23"/>
          <w:lang w:val="fr-FR"/>
        </w:rPr>
      </w:pPr>
      <w:r>
        <w:rPr>
          <w:rFonts w:eastAsia="Times New Roman"/>
          <w:color w:val="000000"/>
          <w:sz w:val="23"/>
          <w:lang w:val="fr-FR"/>
        </w:rPr>
        <w:t>Considérant ce qui suit :</w:t>
      </w:r>
    </w:p>
    <w:p w14:paraId="2192CCE6" w14:textId="77777777" w:rsidR="0063374B" w:rsidRDefault="00012AEC">
      <w:pPr>
        <w:spacing w:before="276" w:line="267" w:lineRule="exact"/>
        <w:ind w:left="72" w:firstLine="792"/>
        <w:jc w:val="both"/>
        <w:textAlignment w:val="baseline"/>
        <w:rPr>
          <w:rFonts w:eastAsia="Times New Roman"/>
          <w:color w:val="000000"/>
          <w:spacing w:val="-1"/>
          <w:sz w:val="23"/>
          <w:lang w:val="fr-FR"/>
        </w:rPr>
      </w:pPr>
      <w:r>
        <w:rPr>
          <w:rFonts w:eastAsia="Times New Roman"/>
          <w:color w:val="000000"/>
          <w:spacing w:val="-1"/>
          <w:sz w:val="23"/>
          <w:lang w:val="fr-FR"/>
        </w:rPr>
        <w:t xml:space="preserve">1. La société </w:t>
      </w:r>
      <w:proofErr w:type="spellStart"/>
      <w:r>
        <w:rPr>
          <w:rFonts w:eastAsia="Times New Roman"/>
          <w:color w:val="000000"/>
          <w:spacing w:val="-1"/>
          <w:sz w:val="23"/>
          <w:lang w:val="fr-FR"/>
        </w:rPr>
        <w:t>Iemants</w:t>
      </w:r>
      <w:proofErr w:type="spellEnd"/>
      <w:r>
        <w:rPr>
          <w:rFonts w:eastAsia="Times New Roman"/>
          <w:color w:val="000000"/>
          <w:spacing w:val="-1"/>
          <w:sz w:val="23"/>
          <w:lang w:val="fr-FR"/>
        </w:rPr>
        <w:t xml:space="preserve">, d'une part, et les sociétés VCF TP Lyon, Vinci construction maritime </w:t>
      </w:r>
      <w:r>
        <w:rPr>
          <w:rFonts w:eastAsia="Times New Roman"/>
          <w:color w:val="000000"/>
          <w:spacing w:val="-1"/>
          <w:sz w:val="23"/>
          <w:lang w:val="fr-FR"/>
        </w:rPr>
        <w:t xml:space="preserve">et fluvial et Lyonnaise d'éclairage constitutives, avec la société </w:t>
      </w:r>
      <w:proofErr w:type="spellStart"/>
      <w:r>
        <w:rPr>
          <w:rFonts w:eastAsia="Times New Roman"/>
          <w:color w:val="000000"/>
          <w:spacing w:val="-1"/>
          <w:sz w:val="23"/>
          <w:lang w:val="fr-FR"/>
        </w:rPr>
        <w:t>Cordioli</w:t>
      </w:r>
      <w:proofErr w:type="spellEnd"/>
      <w:r>
        <w:rPr>
          <w:rFonts w:eastAsia="Times New Roman"/>
          <w:color w:val="000000"/>
          <w:spacing w:val="-1"/>
          <w:sz w:val="23"/>
          <w:lang w:val="fr-FR"/>
        </w:rPr>
        <w:t xml:space="preserve">, du groupement d'entreprises avec lequel la communauté urbaine de Lyon a conclu le 23 juillet 2012 un marché pour la réalisation des travaux de construction du pont Robert Schuman </w:t>
      </w:r>
      <w:r>
        <w:rPr>
          <w:rFonts w:eastAsia="Times New Roman"/>
          <w:color w:val="000000"/>
          <w:spacing w:val="-1"/>
          <w:sz w:val="23"/>
          <w:lang w:val="fr-FR"/>
        </w:rPr>
        <w:t>à Lyon, d'autre part, ont demandé au tribunal administratif de Lyon de condamner la métropole de Lyon, venue aux droits de la communauté urbaine de Lyon, à leur verser le solde de la créance revenant</w:t>
      </w:r>
    </w:p>
    <w:p w14:paraId="17CB65C1" w14:textId="77777777" w:rsidR="0063374B" w:rsidRDefault="0063374B">
      <w:pPr>
        <w:sectPr w:rsidR="0063374B">
          <w:pgSz w:w="11923" w:h="16841"/>
          <w:pgMar w:top="1000" w:right="1066" w:bottom="1265" w:left="1757" w:header="720" w:footer="720" w:gutter="0"/>
          <w:cols w:space="720"/>
        </w:sectPr>
      </w:pPr>
    </w:p>
    <w:p w14:paraId="710B5A8D" w14:textId="77777777" w:rsidR="0063374B" w:rsidRDefault="00012AEC">
      <w:pPr>
        <w:spacing w:before="10" w:line="265" w:lineRule="exact"/>
        <w:ind w:left="72"/>
        <w:textAlignment w:val="baseline"/>
        <w:rPr>
          <w:rFonts w:eastAsia="Times New Roman"/>
          <w:color w:val="000000"/>
          <w:spacing w:val="-5"/>
          <w:sz w:val="23"/>
          <w:lang w:val="fr-FR"/>
        </w:rPr>
      </w:pPr>
      <w:r>
        <w:pict w14:anchorId="28858CB5">
          <v:shape id="_x0000_s1028" type="#_x0000_t202" style="position:absolute;left:0;text-align:left;margin-left:0;margin-top:0;width:596.15pt;height:842.05pt;z-index:-251659264;mso-position-horizontal-relative:page;mso-position-vertical-relative:page" fillcolor="#ebebeb" stroked="f">
            <v:textbox>
              <w:txbxContent>
                <w:p w14:paraId="4ADAA6B5" w14:textId="77777777" w:rsidR="00000000" w:rsidRDefault="00012AEC"/>
              </w:txbxContent>
            </v:textbox>
            <w10:wrap anchorx="page" anchory="page"/>
          </v:shape>
        </w:pict>
      </w:r>
      <w:r>
        <w:rPr>
          <w:rFonts w:eastAsia="Times New Roman"/>
          <w:color w:val="000000"/>
          <w:spacing w:val="-5"/>
          <w:sz w:val="23"/>
          <w:lang w:val="fr-FR"/>
        </w:rPr>
        <w:t>N° 19LY04627</w:t>
      </w:r>
    </w:p>
    <w:p w14:paraId="5B9DD153" w14:textId="77777777" w:rsidR="0063374B" w:rsidRDefault="00012AEC">
      <w:pPr>
        <w:spacing w:before="289" w:line="265" w:lineRule="exact"/>
        <w:ind w:left="72" w:right="72"/>
        <w:jc w:val="both"/>
        <w:textAlignment w:val="baseline"/>
        <w:rPr>
          <w:rFonts w:eastAsia="Times New Roman"/>
          <w:color w:val="000000"/>
          <w:sz w:val="23"/>
          <w:lang w:val="fr-FR"/>
        </w:rPr>
      </w:pPr>
      <w:r>
        <w:rPr>
          <w:rFonts w:eastAsia="Times New Roman"/>
          <w:color w:val="000000"/>
          <w:sz w:val="23"/>
          <w:lang w:val="fr-FR"/>
        </w:rPr>
        <w:t xml:space="preserve">au groupement au titre du </w:t>
      </w:r>
      <w:r>
        <w:rPr>
          <w:rFonts w:eastAsia="Times New Roman"/>
          <w:color w:val="000000"/>
          <w:sz w:val="23"/>
          <w:lang w:val="fr-FR"/>
        </w:rPr>
        <w:t xml:space="preserve">règlement financier du marché, qui avait par ailleurs fait l'objet à la demande de la société </w:t>
      </w:r>
      <w:proofErr w:type="spellStart"/>
      <w:r>
        <w:rPr>
          <w:rFonts w:eastAsia="Times New Roman"/>
          <w:color w:val="000000"/>
          <w:sz w:val="23"/>
          <w:lang w:val="fr-FR"/>
        </w:rPr>
        <w:t>Iemants</w:t>
      </w:r>
      <w:proofErr w:type="spellEnd"/>
      <w:r>
        <w:rPr>
          <w:rFonts w:eastAsia="Times New Roman"/>
          <w:color w:val="000000"/>
          <w:sz w:val="23"/>
          <w:lang w:val="fr-FR"/>
        </w:rPr>
        <w:t xml:space="preserve"> d'un procès-verbal de saisie-attribution du 28 août 2015, pour avoir paiement de la condamnation de la société </w:t>
      </w:r>
      <w:proofErr w:type="spellStart"/>
      <w:r>
        <w:rPr>
          <w:rFonts w:eastAsia="Times New Roman"/>
          <w:color w:val="000000"/>
          <w:sz w:val="23"/>
          <w:lang w:val="fr-FR"/>
        </w:rPr>
        <w:t>Cordioli</w:t>
      </w:r>
      <w:proofErr w:type="spellEnd"/>
      <w:r>
        <w:rPr>
          <w:rFonts w:eastAsia="Times New Roman"/>
          <w:color w:val="000000"/>
          <w:sz w:val="23"/>
          <w:lang w:val="fr-FR"/>
        </w:rPr>
        <w:t xml:space="preserve"> prononcée par un jugement du tribu</w:t>
      </w:r>
      <w:r>
        <w:rPr>
          <w:rFonts w:eastAsia="Times New Roman"/>
          <w:color w:val="000000"/>
          <w:sz w:val="23"/>
          <w:lang w:val="fr-FR"/>
        </w:rPr>
        <w:t xml:space="preserve">nal de commerce de Nanterre du 7 mai 2015. Par un jugement du 17 octobre 2019, le tribunal a condamné la métropole de Lyon à verser à la société </w:t>
      </w:r>
      <w:proofErr w:type="spellStart"/>
      <w:r>
        <w:rPr>
          <w:rFonts w:eastAsia="Times New Roman"/>
          <w:color w:val="000000"/>
          <w:sz w:val="23"/>
          <w:lang w:val="fr-FR"/>
        </w:rPr>
        <w:t>Iemants</w:t>
      </w:r>
      <w:proofErr w:type="spellEnd"/>
      <w:r>
        <w:rPr>
          <w:rFonts w:eastAsia="Times New Roman"/>
          <w:color w:val="000000"/>
          <w:sz w:val="23"/>
          <w:lang w:val="fr-FR"/>
        </w:rPr>
        <w:t xml:space="preserve"> la somme de 656 812,99 euros TTC assortie des intérêts légaux et a rejeté les conclusions des sociétés </w:t>
      </w:r>
      <w:r>
        <w:rPr>
          <w:rFonts w:eastAsia="Times New Roman"/>
          <w:color w:val="000000"/>
          <w:sz w:val="23"/>
          <w:lang w:val="fr-FR"/>
        </w:rPr>
        <w:t xml:space="preserve">VCF TP Lyon, Vinci construction maritime et fluvial et Lyonnaise d'éclairage. La société </w:t>
      </w:r>
      <w:proofErr w:type="spellStart"/>
      <w:r>
        <w:rPr>
          <w:rFonts w:eastAsia="Times New Roman"/>
          <w:color w:val="000000"/>
          <w:sz w:val="23"/>
          <w:lang w:val="fr-FR"/>
        </w:rPr>
        <w:t>Campenon</w:t>
      </w:r>
      <w:proofErr w:type="spellEnd"/>
      <w:r>
        <w:rPr>
          <w:rFonts w:eastAsia="Times New Roman"/>
          <w:color w:val="000000"/>
          <w:sz w:val="23"/>
          <w:lang w:val="fr-FR"/>
        </w:rPr>
        <w:t xml:space="preserve"> Bernard Centre-Est, venant aux droits de la société VCF TP Lyon, et les sociétés Vinci construction maritime et fluvial et Lyonnaise d'éclairage relèvent appe</w:t>
      </w:r>
      <w:r>
        <w:rPr>
          <w:rFonts w:eastAsia="Times New Roman"/>
          <w:color w:val="000000"/>
          <w:sz w:val="23"/>
          <w:lang w:val="fr-FR"/>
        </w:rPr>
        <w:t>l de ce jugement.</w:t>
      </w:r>
    </w:p>
    <w:p w14:paraId="507451F7" w14:textId="77777777" w:rsidR="0063374B" w:rsidRDefault="00012AEC">
      <w:pPr>
        <w:spacing w:before="269" w:line="265" w:lineRule="exact"/>
        <w:ind w:left="864"/>
        <w:textAlignment w:val="baseline"/>
        <w:rPr>
          <w:rFonts w:eastAsia="Times New Roman"/>
          <w:color w:val="000000"/>
          <w:spacing w:val="-1"/>
          <w:sz w:val="23"/>
          <w:u w:val="single"/>
          <w:lang w:val="fr-FR"/>
        </w:rPr>
      </w:pPr>
      <w:r>
        <w:rPr>
          <w:rFonts w:eastAsia="Times New Roman"/>
          <w:color w:val="000000"/>
          <w:spacing w:val="-1"/>
          <w:sz w:val="23"/>
          <w:u w:val="single"/>
          <w:lang w:val="fr-FR"/>
        </w:rPr>
        <w:t>Sur le bien-fondé du jugement</w:t>
      </w:r>
      <w:r>
        <w:rPr>
          <w:rFonts w:eastAsia="Times New Roman"/>
          <w:color w:val="000000"/>
          <w:spacing w:val="-1"/>
          <w:sz w:val="23"/>
          <w:lang w:val="fr-FR"/>
        </w:rPr>
        <w:t xml:space="preserve"> :</w:t>
      </w:r>
    </w:p>
    <w:p w14:paraId="19795164" w14:textId="77777777" w:rsidR="0063374B" w:rsidRDefault="00012AEC">
      <w:pPr>
        <w:spacing w:before="261" w:line="265" w:lineRule="exact"/>
        <w:ind w:left="72" w:right="72" w:firstLine="792"/>
        <w:jc w:val="both"/>
        <w:textAlignment w:val="baseline"/>
        <w:rPr>
          <w:rFonts w:eastAsia="Times New Roman"/>
          <w:color w:val="000000"/>
          <w:sz w:val="23"/>
          <w:lang w:val="fr-FR"/>
        </w:rPr>
      </w:pPr>
      <w:r>
        <w:rPr>
          <w:rFonts w:eastAsia="Times New Roman"/>
          <w:color w:val="000000"/>
          <w:sz w:val="23"/>
          <w:lang w:val="fr-FR"/>
        </w:rPr>
        <w:t xml:space="preserve">En ce qui concerne le transfert de la créance de la société </w:t>
      </w:r>
      <w:proofErr w:type="spellStart"/>
      <w:r>
        <w:rPr>
          <w:rFonts w:eastAsia="Times New Roman"/>
          <w:color w:val="000000"/>
          <w:sz w:val="23"/>
          <w:lang w:val="fr-FR"/>
        </w:rPr>
        <w:t>Cordioli</w:t>
      </w:r>
      <w:proofErr w:type="spellEnd"/>
      <w:r>
        <w:rPr>
          <w:rFonts w:eastAsia="Times New Roman"/>
          <w:color w:val="000000"/>
          <w:sz w:val="23"/>
          <w:lang w:val="fr-FR"/>
        </w:rPr>
        <w:t xml:space="preserve"> à la société VCF TP Lyon :</w:t>
      </w:r>
    </w:p>
    <w:p w14:paraId="5E3428F1" w14:textId="77777777" w:rsidR="0063374B" w:rsidRDefault="00012AEC">
      <w:pPr>
        <w:numPr>
          <w:ilvl w:val="0"/>
          <w:numId w:val="2"/>
        </w:numPr>
        <w:tabs>
          <w:tab w:val="clear" w:pos="216"/>
          <w:tab w:val="left" w:pos="1152"/>
        </w:tabs>
        <w:spacing w:before="271" w:line="267" w:lineRule="exact"/>
        <w:ind w:left="72" w:right="72" w:firstLine="864"/>
        <w:jc w:val="both"/>
        <w:textAlignment w:val="baseline"/>
        <w:rPr>
          <w:rFonts w:eastAsia="Times New Roman"/>
          <w:color w:val="000000"/>
          <w:sz w:val="23"/>
          <w:lang w:val="fr-FR"/>
        </w:rPr>
      </w:pPr>
      <w:r>
        <w:rPr>
          <w:rFonts w:eastAsia="Times New Roman"/>
          <w:color w:val="000000"/>
          <w:sz w:val="23"/>
          <w:lang w:val="fr-FR"/>
        </w:rPr>
        <w:t>Aux termes de l'article 107 du code des marchés publics, alors en vigueur : «</w:t>
      </w:r>
      <w:r>
        <w:rPr>
          <w:rFonts w:eastAsia="Times New Roman"/>
          <w:i/>
          <w:color w:val="000000"/>
          <w:sz w:val="23"/>
          <w:lang w:val="fr-FR"/>
        </w:rPr>
        <w:t>Le bénéficiaire d'une cession (...) de créance au titre d'un marché public notifie ou signifie cette cession (...) au comptable public assignataire. Ce bénéficiaire encaisse seul,</w:t>
      </w:r>
      <w:r>
        <w:rPr>
          <w:rFonts w:eastAsia="Times New Roman"/>
          <w:i/>
          <w:color w:val="000000"/>
          <w:sz w:val="23"/>
          <w:lang w:val="fr-FR"/>
        </w:rPr>
        <w:t xml:space="preserve"> à compter de cette notification ou signification au comptable, le montant de la créance ou de la part de créance qui lui a été cédée (...) ».</w:t>
      </w:r>
    </w:p>
    <w:p w14:paraId="1213878F" w14:textId="77777777" w:rsidR="0063374B" w:rsidRDefault="00012AEC">
      <w:pPr>
        <w:numPr>
          <w:ilvl w:val="0"/>
          <w:numId w:val="2"/>
        </w:numPr>
        <w:tabs>
          <w:tab w:val="clear" w:pos="216"/>
          <w:tab w:val="left" w:pos="1152"/>
        </w:tabs>
        <w:spacing w:before="273" w:line="265" w:lineRule="exact"/>
        <w:ind w:left="72" w:right="72" w:firstLine="864"/>
        <w:jc w:val="both"/>
        <w:textAlignment w:val="baseline"/>
        <w:rPr>
          <w:rFonts w:eastAsia="Times New Roman"/>
          <w:color w:val="000000"/>
          <w:spacing w:val="-1"/>
          <w:sz w:val="23"/>
          <w:lang w:val="fr-FR"/>
        </w:rPr>
      </w:pPr>
      <w:r>
        <w:rPr>
          <w:rFonts w:eastAsia="Times New Roman"/>
          <w:color w:val="000000"/>
          <w:spacing w:val="-1"/>
          <w:sz w:val="23"/>
          <w:lang w:val="fr-FR"/>
        </w:rPr>
        <w:t>Il résulte de l'instruction que diverses difficultés rencontrées par les entreprises dans l'exécution des travaux de construction du pont Robert Schuman ont entrainé des augmentations de coûts ainsi que des retards qui ont contraint le groupement à payer d</w:t>
      </w:r>
      <w:r>
        <w:rPr>
          <w:rFonts w:eastAsia="Times New Roman"/>
          <w:color w:val="000000"/>
          <w:spacing w:val="-1"/>
          <w:sz w:val="23"/>
          <w:lang w:val="fr-FR"/>
        </w:rPr>
        <w:t xml:space="preserve">es pénalités. Celui-ci a présenté un mémoire en réclamation qui est resté sans réponse. Par un protocole d'accord transactionnel portant règlement financier signé le 24 mars 2016, la métropole de Lyon s'est engagée à verser au groupement la somme de 1 614 </w:t>
      </w:r>
      <w:r>
        <w:rPr>
          <w:rFonts w:eastAsia="Times New Roman"/>
          <w:color w:val="000000"/>
          <w:spacing w:val="-1"/>
          <w:sz w:val="23"/>
          <w:lang w:val="fr-FR"/>
        </w:rPr>
        <w:t xml:space="preserve">966,92 euros HT au titre du solde du décompte général du marché et celle de 294 557,75 euros au titre des aléas et travaux supplémentaires. Après une mise en demeure, la métropole de Lyon a procédé au versement des sommes de 810 814,02 et 68 818,24 euros, </w:t>
      </w:r>
      <w:r>
        <w:rPr>
          <w:rFonts w:eastAsia="Times New Roman"/>
          <w:color w:val="000000"/>
          <w:spacing w:val="-1"/>
          <w:sz w:val="23"/>
          <w:lang w:val="fr-FR"/>
        </w:rPr>
        <w:t xml:space="preserve">mais restait redevable de la somme due à la société </w:t>
      </w:r>
      <w:proofErr w:type="spellStart"/>
      <w:r>
        <w:rPr>
          <w:rFonts w:eastAsia="Times New Roman"/>
          <w:color w:val="000000"/>
          <w:spacing w:val="-1"/>
          <w:sz w:val="23"/>
          <w:lang w:val="fr-FR"/>
        </w:rPr>
        <w:t>Cordioli</w:t>
      </w:r>
      <w:proofErr w:type="spellEnd"/>
      <w:r>
        <w:rPr>
          <w:rFonts w:eastAsia="Times New Roman"/>
          <w:color w:val="000000"/>
          <w:spacing w:val="-1"/>
          <w:sz w:val="23"/>
          <w:lang w:val="fr-FR"/>
        </w:rPr>
        <w:t xml:space="preserve">. En marge des discussions préalables ayant donné lieu à la signature de ce protocole, la société </w:t>
      </w:r>
      <w:proofErr w:type="spellStart"/>
      <w:r>
        <w:rPr>
          <w:rFonts w:eastAsia="Times New Roman"/>
          <w:color w:val="000000"/>
          <w:spacing w:val="-1"/>
          <w:sz w:val="23"/>
          <w:lang w:val="fr-FR"/>
        </w:rPr>
        <w:t>Cordioli</w:t>
      </w:r>
      <w:proofErr w:type="spellEnd"/>
      <w:r>
        <w:rPr>
          <w:rFonts w:eastAsia="Times New Roman"/>
          <w:color w:val="000000"/>
          <w:spacing w:val="-1"/>
          <w:sz w:val="23"/>
          <w:lang w:val="fr-FR"/>
        </w:rPr>
        <w:t>, qui s'est trouvée confrontée à des difficultés de trésorerie, a conclu le 3 août 2015 av</w:t>
      </w:r>
      <w:r>
        <w:rPr>
          <w:rFonts w:eastAsia="Times New Roman"/>
          <w:color w:val="000000"/>
          <w:spacing w:val="-1"/>
          <w:sz w:val="23"/>
          <w:lang w:val="fr-FR"/>
        </w:rPr>
        <w:t xml:space="preserve">ec la société VCF TP Lyon, mandataire du groupement, un protocole transactionnel aux termes duquel la société VCF TP Lyon s'engageait à verser à la société </w:t>
      </w:r>
      <w:proofErr w:type="spellStart"/>
      <w:r>
        <w:rPr>
          <w:rFonts w:eastAsia="Times New Roman"/>
          <w:color w:val="000000"/>
          <w:spacing w:val="-1"/>
          <w:sz w:val="23"/>
          <w:lang w:val="fr-FR"/>
        </w:rPr>
        <w:t>Cordioli</w:t>
      </w:r>
      <w:proofErr w:type="spellEnd"/>
      <w:r>
        <w:rPr>
          <w:rFonts w:eastAsia="Times New Roman"/>
          <w:color w:val="000000"/>
          <w:spacing w:val="-1"/>
          <w:sz w:val="23"/>
          <w:lang w:val="fr-FR"/>
        </w:rPr>
        <w:t xml:space="preserve"> la somme forfaitaire et définitive de 1 203 267,99 euros en anticipation de la somme à laqu</w:t>
      </w:r>
      <w:r>
        <w:rPr>
          <w:rFonts w:eastAsia="Times New Roman"/>
          <w:color w:val="000000"/>
          <w:spacing w:val="-1"/>
          <w:sz w:val="23"/>
          <w:lang w:val="fr-FR"/>
        </w:rPr>
        <w:t xml:space="preserve">elle elle pourrait prétendre dans le cadre du décompte général définitif et des indemnités transactionnelles à intervenir. Selon les termes de l'article 2 de leur protocole, la société </w:t>
      </w:r>
      <w:proofErr w:type="spellStart"/>
      <w:r>
        <w:rPr>
          <w:rFonts w:eastAsia="Times New Roman"/>
          <w:color w:val="000000"/>
          <w:spacing w:val="-1"/>
          <w:sz w:val="23"/>
          <w:lang w:val="fr-FR"/>
        </w:rPr>
        <w:t>Cordioli</w:t>
      </w:r>
      <w:proofErr w:type="spellEnd"/>
      <w:r>
        <w:rPr>
          <w:rFonts w:eastAsia="Times New Roman"/>
          <w:color w:val="000000"/>
          <w:spacing w:val="-1"/>
          <w:sz w:val="23"/>
          <w:lang w:val="fr-FR"/>
        </w:rPr>
        <w:t xml:space="preserve"> déclarait subroger en conséquence la société VCF TP Lyon dans </w:t>
      </w:r>
      <w:r>
        <w:rPr>
          <w:rFonts w:eastAsia="Times New Roman"/>
          <w:color w:val="000000"/>
          <w:spacing w:val="-1"/>
          <w:sz w:val="23"/>
          <w:lang w:val="fr-FR"/>
        </w:rPr>
        <w:t xml:space="preserve">les droits qu'elle détenait sur la métropole de Lyon. Ce même article stipulait que les sommes définitives revenant à la société </w:t>
      </w:r>
      <w:proofErr w:type="spellStart"/>
      <w:r>
        <w:rPr>
          <w:rFonts w:eastAsia="Times New Roman"/>
          <w:color w:val="000000"/>
          <w:spacing w:val="-1"/>
          <w:sz w:val="23"/>
          <w:lang w:val="fr-FR"/>
        </w:rPr>
        <w:t>Cordioli</w:t>
      </w:r>
      <w:proofErr w:type="spellEnd"/>
      <w:r>
        <w:rPr>
          <w:rFonts w:eastAsia="Times New Roman"/>
          <w:color w:val="000000"/>
          <w:spacing w:val="-1"/>
          <w:sz w:val="23"/>
          <w:lang w:val="fr-FR"/>
        </w:rPr>
        <w:t xml:space="preserve"> au titre du décompte général et de la transaction seraient directement versées à la société VCF TP Lyon par le maître </w:t>
      </w:r>
      <w:r>
        <w:rPr>
          <w:rFonts w:eastAsia="Times New Roman"/>
          <w:color w:val="000000"/>
          <w:spacing w:val="-1"/>
          <w:sz w:val="23"/>
          <w:lang w:val="fr-FR"/>
        </w:rPr>
        <w:t xml:space="preserve">d'ouvrage. Par l'effet de cette cession, la société VCF TP Lyon, subrogée aux droits de la société </w:t>
      </w:r>
      <w:proofErr w:type="spellStart"/>
      <w:r>
        <w:rPr>
          <w:rFonts w:eastAsia="Times New Roman"/>
          <w:color w:val="000000"/>
          <w:spacing w:val="-1"/>
          <w:sz w:val="23"/>
          <w:lang w:val="fr-FR"/>
        </w:rPr>
        <w:t>Cordioli</w:t>
      </w:r>
      <w:proofErr w:type="spellEnd"/>
      <w:r>
        <w:rPr>
          <w:rFonts w:eastAsia="Times New Roman"/>
          <w:color w:val="000000"/>
          <w:spacing w:val="-1"/>
          <w:sz w:val="23"/>
          <w:lang w:val="fr-FR"/>
        </w:rPr>
        <w:t>, était donc désormais titulaire de la créance sur la métropole de Lyon.</w:t>
      </w:r>
    </w:p>
    <w:p w14:paraId="124442E8" w14:textId="77777777" w:rsidR="0063374B" w:rsidRDefault="00012AEC">
      <w:pPr>
        <w:spacing w:line="262" w:lineRule="exact"/>
        <w:ind w:left="72"/>
        <w:jc w:val="both"/>
        <w:textAlignment w:val="baseline"/>
        <w:rPr>
          <w:rFonts w:eastAsia="Times New Roman"/>
          <w:color w:val="000000"/>
          <w:sz w:val="23"/>
          <w:lang w:val="fr-FR"/>
        </w:rPr>
      </w:pPr>
      <w:r>
        <w:rPr>
          <w:rFonts w:eastAsia="Times New Roman"/>
          <w:color w:val="000000"/>
          <w:sz w:val="23"/>
          <w:lang w:val="fr-FR"/>
        </w:rPr>
        <w:t>Conformément aux prescriptions de l'article 107 du code des marchés publics,</w:t>
      </w:r>
      <w:r>
        <w:rPr>
          <w:rFonts w:eastAsia="Times New Roman"/>
          <w:color w:val="000000"/>
          <w:sz w:val="23"/>
          <w:lang w:val="fr-FR"/>
        </w:rPr>
        <w:t xml:space="preserve"> elle devait, pour la rendre opposable à la métropole de Lyon, notifier ou signifier la cession de créance au</w:t>
      </w:r>
    </w:p>
    <w:p w14:paraId="5FC77C78" w14:textId="77777777" w:rsidR="0063374B" w:rsidRDefault="00012AEC">
      <w:pPr>
        <w:spacing w:line="264" w:lineRule="exact"/>
        <w:ind w:left="72"/>
        <w:jc w:val="both"/>
        <w:textAlignment w:val="baseline"/>
        <w:rPr>
          <w:rFonts w:eastAsia="Times New Roman"/>
          <w:color w:val="000000"/>
          <w:sz w:val="23"/>
          <w:lang w:val="fr-FR"/>
        </w:rPr>
      </w:pPr>
      <w:r>
        <w:rPr>
          <w:rFonts w:eastAsia="Times New Roman"/>
          <w:color w:val="000000"/>
          <w:sz w:val="23"/>
          <w:lang w:val="fr-FR"/>
        </w:rPr>
        <w:t>comptable public assignataire de la collectivité. Les sociétés appelantes ne sauraient utilement se</w:t>
      </w:r>
    </w:p>
    <w:p w14:paraId="02FEFEA9" w14:textId="77777777" w:rsidR="0063374B" w:rsidRDefault="00012AEC">
      <w:pPr>
        <w:spacing w:before="2" w:line="269" w:lineRule="exact"/>
        <w:ind w:left="72"/>
        <w:jc w:val="both"/>
        <w:textAlignment w:val="baseline"/>
        <w:rPr>
          <w:rFonts w:eastAsia="Times New Roman"/>
          <w:color w:val="000000"/>
          <w:sz w:val="23"/>
          <w:lang w:val="fr-FR"/>
        </w:rPr>
      </w:pPr>
      <w:r>
        <w:rPr>
          <w:rFonts w:eastAsia="Times New Roman"/>
          <w:color w:val="000000"/>
          <w:sz w:val="23"/>
          <w:lang w:val="fr-FR"/>
        </w:rPr>
        <w:t>prévaloir de ce que le protocole conclu le 3 a</w:t>
      </w:r>
      <w:r>
        <w:rPr>
          <w:rFonts w:eastAsia="Times New Roman"/>
          <w:color w:val="000000"/>
          <w:sz w:val="23"/>
          <w:lang w:val="fr-FR"/>
        </w:rPr>
        <w:t>oût 2015 prévoyait que la société VCF TP Lyon devait le notifier au maître d'ouvrage. En l'absence de notification ou signification au comptable</w:t>
      </w:r>
    </w:p>
    <w:p w14:paraId="0B7C3E90" w14:textId="77777777" w:rsidR="0063374B" w:rsidRDefault="00012AEC">
      <w:pPr>
        <w:spacing w:line="260" w:lineRule="exact"/>
        <w:ind w:left="72"/>
        <w:jc w:val="both"/>
        <w:textAlignment w:val="baseline"/>
        <w:rPr>
          <w:rFonts w:eastAsia="Times New Roman"/>
          <w:color w:val="000000"/>
          <w:sz w:val="23"/>
          <w:lang w:val="fr-FR"/>
        </w:rPr>
      </w:pPr>
      <w:r>
        <w:rPr>
          <w:rFonts w:eastAsia="Times New Roman"/>
          <w:color w:val="000000"/>
          <w:sz w:val="23"/>
          <w:lang w:val="fr-FR"/>
        </w:rPr>
        <w:t>public assignataire, la société VCF TP Lyon ne pouvait obtenir paiement du solde dont la métropole de Lyon rest</w:t>
      </w:r>
      <w:r>
        <w:rPr>
          <w:rFonts w:eastAsia="Times New Roman"/>
          <w:color w:val="000000"/>
          <w:sz w:val="23"/>
          <w:lang w:val="fr-FR"/>
        </w:rPr>
        <w:t xml:space="preserve">ait redevable initialement envers la société </w:t>
      </w:r>
      <w:proofErr w:type="spellStart"/>
      <w:r>
        <w:rPr>
          <w:rFonts w:eastAsia="Times New Roman"/>
          <w:color w:val="000000"/>
          <w:sz w:val="23"/>
          <w:lang w:val="fr-FR"/>
        </w:rPr>
        <w:t>Cordioli</w:t>
      </w:r>
      <w:proofErr w:type="spellEnd"/>
      <w:r>
        <w:rPr>
          <w:rFonts w:eastAsia="Times New Roman"/>
          <w:color w:val="000000"/>
          <w:sz w:val="23"/>
          <w:lang w:val="fr-FR"/>
        </w:rPr>
        <w:t xml:space="preserve"> au regard du montant retenu dans l'accord du 24 mars 2016.</w:t>
      </w:r>
    </w:p>
    <w:p w14:paraId="3878D163" w14:textId="77777777" w:rsidR="0063374B" w:rsidRDefault="0063374B">
      <w:pPr>
        <w:sectPr w:rsidR="0063374B">
          <w:pgSz w:w="11923" w:h="16841"/>
          <w:pgMar w:top="2880" w:right="1145" w:bottom="30" w:left="1678" w:header="720" w:footer="720" w:gutter="0"/>
          <w:cols w:space="720"/>
        </w:sectPr>
      </w:pPr>
    </w:p>
    <w:p w14:paraId="0E05A0D8" w14:textId="77777777" w:rsidR="0063374B" w:rsidRDefault="00012AEC">
      <w:pPr>
        <w:spacing w:before="4" w:line="264" w:lineRule="exact"/>
        <w:ind w:left="72"/>
        <w:textAlignment w:val="baseline"/>
        <w:rPr>
          <w:rFonts w:eastAsia="Times New Roman"/>
          <w:color w:val="000000"/>
          <w:spacing w:val="-5"/>
          <w:sz w:val="23"/>
          <w:lang w:val="fr-FR"/>
        </w:rPr>
      </w:pPr>
      <w:r>
        <w:pict w14:anchorId="2673C3B0">
          <v:shape id="_x0000_s1027" type="#_x0000_t202" style="position:absolute;left:0;text-align:left;margin-left:0;margin-top:0;width:596.15pt;height:842.05pt;z-index:-251658240;mso-position-horizontal-relative:page;mso-position-vertical-relative:page" fillcolor="#eeeeed" stroked="f">
            <v:textbox>
              <w:txbxContent>
                <w:p w14:paraId="7249D5DD" w14:textId="77777777" w:rsidR="00000000" w:rsidRDefault="00012AEC"/>
              </w:txbxContent>
            </v:textbox>
            <w10:wrap anchorx="page" anchory="page"/>
          </v:shape>
        </w:pict>
      </w:r>
      <w:r>
        <w:rPr>
          <w:rFonts w:eastAsia="Times New Roman"/>
          <w:color w:val="000000"/>
          <w:spacing w:val="-5"/>
          <w:sz w:val="23"/>
          <w:lang w:val="fr-FR"/>
        </w:rPr>
        <w:t>N° 19LY04627</w:t>
      </w:r>
    </w:p>
    <w:p w14:paraId="08F83984" w14:textId="77777777" w:rsidR="0063374B" w:rsidRDefault="00012AEC">
      <w:pPr>
        <w:numPr>
          <w:ilvl w:val="0"/>
          <w:numId w:val="3"/>
        </w:numPr>
        <w:tabs>
          <w:tab w:val="clear" w:pos="288"/>
          <w:tab w:val="left" w:pos="1152"/>
        </w:tabs>
        <w:spacing w:before="282" w:line="267" w:lineRule="exact"/>
        <w:ind w:left="72" w:right="72" w:firstLine="792"/>
        <w:jc w:val="both"/>
        <w:textAlignment w:val="baseline"/>
        <w:rPr>
          <w:rFonts w:eastAsia="Times New Roman"/>
          <w:color w:val="000000"/>
          <w:sz w:val="23"/>
          <w:lang w:val="fr-FR"/>
        </w:rPr>
      </w:pPr>
      <w:r>
        <w:rPr>
          <w:rFonts w:eastAsia="Times New Roman"/>
          <w:color w:val="000000"/>
          <w:sz w:val="23"/>
          <w:lang w:val="fr-FR"/>
        </w:rPr>
        <w:t xml:space="preserve">Compte tenu de ce qui précède, les sociétés appelantes ne sont pas fondées à soutenir que c'est à tort que, par le jugement attaqué, le tribunal administratif de Lyon a rejeté leurs conclusions à fin de paiement et a condamné la métropole de Lyon à verser </w:t>
      </w:r>
      <w:r>
        <w:rPr>
          <w:rFonts w:eastAsia="Times New Roman"/>
          <w:color w:val="000000"/>
          <w:sz w:val="23"/>
          <w:lang w:val="fr-FR"/>
        </w:rPr>
        <w:t xml:space="preserve">la somme de 656 812,99 euros TTC à la société </w:t>
      </w:r>
      <w:proofErr w:type="spellStart"/>
      <w:r>
        <w:rPr>
          <w:rFonts w:eastAsia="Times New Roman"/>
          <w:color w:val="000000"/>
          <w:sz w:val="23"/>
          <w:lang w:val="fr-FR"/>
        </w:rPr>
        <w:t>Iemants</w:t>
      </w:r>
      <w:proofErr w:type="spellEnd"/>
      <w:r>
        <w:rPr>
          <w:rFonts w:eastAsia="Times New Roman"/>
          <w:color w:val="000000"/>
          <w:sz w:val="23"/>
          <w:lang w:val="fr-FR"/>
        </w:rPr>
        <w:t>.</w:t>
      </w:r>
    </w:p>
    <w:p w14:paraId="35C33586" w14:textId="77777777" w:rsidR="0063374B" w:rsidRDefault="00012AEC">
      <w:pPr>
        <w:spacing w:before="538" w:line="264" w:lineRule="exact"/>
        <w:ind w:left="72"/>
        <w:jc w:val="center"/>
        <w:textAlignment w:val="baseline"/>
        <w:rPr>
          <w:rFonts w:eastAsia="Times New Roman"/>
          <w:color w:val="000000"/>
          <w:sz w:val="23"/>
          <w:lang w:val="fr-FR"/>
        </w:rPr>
      </w:pPr>
      <w:r>
        <w:rPr>
          <w:rFonts w:eastAsia="Times New Roman"/>
          <w:color w:val="000000"/>
          <w:sz w:val="23"/>
          <w:lang w:val="fr-FR"/>
        </w:rPr>
        <w:t>En ce qui concerne la responsabilité contractuelle de la métropole de Lyon :</w:t>
      </w:r>
    </w:p>
    <w:p w14:paraId="1CE934D7" w14:textId="77777777" w:rsidR="0063374B" w:rsidRDefault="00012AEC">
      <w:pPr>
        <w:numPr>
          <w:ilvl w:val="0"/>
          <w:numId w:val="3"/>
        </w:numPr>
        <w:tabs>
          <w:tab w:val="clear" w:pos="288"/>
          <w:tab w:val="left" w:pos="1152"/>
        </w:tabs>
        <w:spacing w:before="270" w:line="267" w:lineRule="exact"/>
        <w:ind w:left="72" w:right="72" w:firstLine="792"/>
        <w:jc w:val="both"/>
        <w:textAlignment w:val="baseline"/>
        <w:rPr>
          <w:rFonts w:eastAsia="Times New Roman"/>
          <w:color w:val="000000"/>
          <w:spacing w:val="-1"/>
          <w:sz w:val="23"/>
          <w:lang w:val="fr-FR"/>
        </w:rPr>
      </w:pPr>
      <w:r>
        <w:rPr>
          <w:rFonts w:eastAsia="Times New Roman"/>
          <w:color w:val="000000"/>
          <w:spacing w:val="-1"/>
          <w:sz w:val="23"/>
          <w:lang w:val="fr-FR"/>
        </w:rPr>
        <w:t xml:space="preserve">Le défaut de règlement à la société VCF TP Lyon de la créance initialement détenue par la société </w:t>
      </w:r>
      <w:proofErr w:type="spellStart"/>
      <w:r>
        <w:rPr>
          <w:rFonts w:eastAsia="Times New Roman"/>
          <w:color w:val="000000"/>
          <w:spacing w:val="-1"/>
          <w:sz w:val="23"/>
          <w:lang w:val="fr-FR"/>
        </w:rPr>
        <w:t>Cordioli</w:t>
      </w:r>
      <w:proofErr w:type="spellEnd"/>
      <w:r>
        <w:rPr>
          <w:rFonts w:eastAsia="Times New Roman"/>
          <w:color w:val="000000"/>
          <w:spacing w:val="-1"/>
          <w:sz w:val="23"/>
          <w:lang w:val="fr-FR"/>
        </w:rPr>
        <w:t xml:space="preserve"> du fait de sa participation à l'opération de construction ne résulte pas d'une méconnaissance par la métropole de Lyon du protocole d'accord transact</w:t>
      </w:r>
      <w:r>
        <w:rPr>
          <w:rFonts w:eastAsia="Times New Roman"/>
          <w:color w:val="000000"/>
          <w:spacing w:val="-1"/>
          <w:sz w:val="23"/>
          <w:lang w:val="fr-FR"/>
        </w:rPr>
        <w:t>ionnel portant règlement financier du 24 mars 2016 mais, comme indiqué au point 3, de l'absence de notification ou signification au comptable assignataire de la collectivité du protocole transactionnel du 3 août 2015, dont en tout état de cause elle n'a eu</w:t>
      </w:r>
      <w:r>
        <w:rPr>
          <w:rFonts w:eastAsia="Times New Roman"/>
          <w:color w:val="000000"/>
          <w:spacing w:val="-1"/>
          <w:sz w:val="23"/>
          <w:lang w:val="fr-FR"/>
        </w:rPr>
        <w:t xml:space="preserve"> connaissance que postérieurement à la signification de la saisie-attribution du 28 août 2015 mentionnée au point 1. Les sociétés appelantes ne peuvent, dès lors, utilement soutenir que la métropole de Lyon aurait méconnu le principe de loyauté contractuel</w:t>
      </w:r>
      <w:r>
        <w:rPr>
          <w:rFonts w:eastAsia="Times New Roman"/>
          <w:color w:val="000000"/>
          <w:spacing w:val="-1"/>
          <w:sz w:val="23"/>
          <w:lang w:val="fr-FR"/>
        </w:rPr>
        <w:t>le. Par suite, c'est à juste titre que les premiers juges ont rejeté leurs conclusions fondées sur la responsabilité contractuelle de la métropole de Lyon.</w:t>
      </w:r>
    </w:p>
    <w:p w14:paraId="399CE9CF" w14:textId="77777777" w:rsidR="0063374B" w:rsidRDefault="00012AEC">
      <w:pPr>
        <w:spacing w:before="527" w:line="264" w:lineRule="exact"/>
        <w:ind w:left="864"/>
        <w:textAlignment w:val="baseline"/>
        <w:rPr>
          <w:rFonts w:eastAsia="Times New Roman"/>
          <w:color w:val="000000"/>
          <w:spacing w:val="-2"/>
          <w:sz w:val="23"/>
          <w:u w:val="single"/>
          <w:lang w:val="fr-FR"/>
        </w:rPr>
      </w:pPr>
      <w:r>
        <w:rPr>
          <w:rFonts w:eastAsia="Times New Roman"/>
          <w:color w:val="000000"/>
          <w:spacing w:val="-2"/>
          <w:sz w:val="23"/>
          <w:u w:val="single"/>
          <w:lang w:val="fr-FR"/>
        </w:rPr>
        <w:t>Sur les dépens</w:t>
      </w:r>
      <w:r>
        <w:rPr>
          <w:rFonts w:eastAsia="Times New Roman"/>
          <w:color w:val="000000"/>
          <w:spacing w:val="-2"/>
          <w:sz w:val="23"/>
          <w:lang w:val="fr-FR"/>
        </w:rPr>
        <w:t xml:space="preserve"> :</w:t>
      </w:r>
    </w:p>
    <w:p w14:paraId="53C26B89" w14:textId="77777777" w:rsidR="0063374B" w:rsidRDefault="00012AEC">
      <w:pPr>
        <w:numPr>
          <w:ilvl w:val="0"/>
          <w:numId w:val="3"/>
        </w:numPr>
        <w:tabs>
          <w:tab w:val="clear" w:pos="288"/>
          <w:tab w:val="left" w:pos="1152"/>
        </w:tabs>
        <w:spacing w:before="279" w:line="266" w:lineRule="exact"/>
        <w:ind w:left="72" w:right="72" w:firstLine="792"/>
        <w:jc w:val="both"/>
        <w:textAlignment w:val="baseline"/>
        <w:rPr>
          <w:rFonts w:eastAsia="Times New Roman"/>
          <w:color w:val="000000"/>
          <w:sz w:val="23"/>
          <w:lang w:val="fr-FR"/>
        </w:rPr>
      </w:pPr>
      <w:r>
        <w:rPr>
          <w:rFonts w:eastAsia="Times New Roman"/>
          <w:color w:val="000000"/>
          <w:sz w:val="23"/>
          <w:lang w:val="fr-FR"/>
        </w:rPr>
        <w:t xml:space="preserve">Les conclusions de la société </w:t>
      </w:r>
      <w:proofErr w:type="spellStart"/>
      <w:r>
        <w:rPr>
          <w:rFonts w:eastAsia="Times New Roman"/>
          <w:color w:val="000000"/>
          <w:sz w:val="23"/>
          <w:lang w:val="fr-FR"/>
        </w:rPr>
        <w:t>Iemants</w:t>
      </w:r>
      <w:proofErr w:type="spellEnd"/>
      <w:r>
        <w:rPr>
          <w:rFonts w:eastAsia="Times New Roman"/>
          <w:color w:val="000000"/>
          <w:sz w:val="23"/>
          <w:lang w:val="fr-FR"/>
        </w:rPr>
        <w:t xml:space="preserve"> tendant à la condamnation de la métropole de </w:t>
      </w:r>
      <w:r>
        <w:rPr>
          <w:rFonts w:eastAsia="Times New Roman"/>
          <w:color w:val="000000"/>
          <w:sz w:val="23"/>
          <w:lang w:val="fr-FR"/>
        </w:rPr>
        <w:t>Lyon et de son comptable public à la rembourser des dépens de la saisie-attribution et des frais de recouvrement de sa créance, qui ne sont pas au nombre des dépens énumérés à l'article R. 761-1 du code de justice administrative, ne peuvent qu'être rejetée</w:t>
      </w:r>
      <w:r>
        <w:rPr>
          <w:rFonts w:eastAsia="Times New Roman"/>
          <w:color w:val="000000"/>
          <w:sz w:val="23"/>
          <w:lang w:val="fr-FR"/>
        </w:rPr>
        <w:t>s.</w:t>
      </w:r>
    </w:p>
    <w:p w14:paraId="64A44F98" w14:textId="77777777" w:rsidR="0063374B" w:rsidRDefault="00012AEC">
      <w:pPr>
        <w:spacing w:before="280" w:line="255" w:lineRule="exact"/>
        <w:ind w:left="72" w:right="72" w:firstLine="792"/>
        <w:jc w:val="both"/>
        <w:textAlignment w:val="baseline"/>
        <w:rPr>
          <w:rFonts w:eastAsia="Times New Roman"/>
          <w:color w:val="000000"/>
          <w:sz w:val="23"/>
          <w:u w:val="single"/>
          <w:lang w:val="fr-FR"/>
        </w:rPr>
      </w:pPr>
      <w:r>
        <w:rPr>
          <w:rFonts w:eastAsia="Times New Roman"/>
          <w:color w:val="000000"/>
          <w:sz w:val="23"/>
          <w:u w:val="single"/>
          <w:lang w:val="fr-FR"/>
        </w:rPr>
        <w:t>Sur les conclusions présentées au titre de l'article L. 761-1 du code de justice administrative</w:t>
      </w:r>
      <w:r>
        <w:rPr>
          <w:rFonts w:eastAsia="Times New Roman"/>
          <w:color w:val="000000"/>
          <w:sz w:val="23"/>
          <w:lang w:val="fr-FR"/>
        </w:rPr>
        <w:t xml:space="preserve"> :</w:t>
      </w:r>
    </w:p>
    <w:p w14:paraId="0E8E587B" w14:textId="77777777" w:rsidR="0063374B" w:rsidRDefault="00012AEC">
      <w:pPr>
        <w:numPr>
          <w:ilvl w:val="0"/>
          <w:numId w:val="3"/>
        </w:numPr>
        <w:tabs>
          <w:tab w:val="clear" w:pos="288"/>
          <w:tab w:val="left" w:pos="1152"/>
        </w:tabs>
        <w:spacing w:before="285" w:line="262" w:lineRule="exact"/>
        <w:ind w:left="72" w:right="72" w:firstLine="792"/>
        <w:jc w:val="both"/>
        <w:textAlignment w:val="baseline"/>
        <w:rPr>
          <w:rFonts w:eastAsia="Times New Roman"/>
          <w:color w:val="000000"/>
          <w:sz w:val="23"/>
          <w:lang w:val="fr-FR"/>
        </w:rPr>
      </w:pPr>
      <w:r>
        <w:rPr>
          <w:rFonts w:eastAsia="Times New Roman"/>
          <w:color w:val="000000"/>
          <w:sz w:val="23"/>
          <w:lang w:val="fr-FR"/>
        </w:rPr>
        <w:t>Il y a lieu, dans les circonstances de l'espèce, de laisser à la charge des parties les frais qu'elles ont exposés au titre du litige et non compris dans l</w:t>
      </w:r>
      <w:r>
        <w:rPr>
          <w:rFonts w:eastAsia="Times New Roman"/>
          <w:color w:val="000000"/>
          <w:sz w:val="23"/>
          <w:lang w:val="fr-FR"/>
        </w:rPr>
        <w:t>es dépens.</w:t>
      </w:r>
    </w:p>
    <w:p w14:paraId="05E52D7F" w14:textId="77777777" w:rsidR="0063374B" w:rsidRDefault="00012AEC">
      <w:pPr>
        <w:spacing w:before="540" w:line="264" w:lineRule="exact"/>
        <w:ind w:left="72"/>
        <w:jc w:val="center"/>
        <w:textAlignment w:val="baseline"/>
        <w:rPr>
          <w:rFonts w:eastAsia="Times New Roman"/>
          <w:color w:val="000000"/>
          <w:spacing w:val="-2"/>
          <w:sz w:val="23"/>
          <w:lang w:val="fr-FR"/>
        </w:rPr>
      </w:pPr>
      <w:r>
        <w:rPr>
          <w:rFonts w:eastAsia="Times New Roman"/>
          <w:color w:val="000000"/>
          <w:spacing w:val="-2"/>
          <w:sz w:val="23"/>
          <w:lang w:val="fr-FR"/>
        </w:rPr>
        <w:t>DÉCIDE :</w:t>
      </w:r>
    </w:p>
    <w:p w14:paraId="440F0733" w14:textId="77777777" w:rsidR="0063374B" w:rsidRDefault="00012AEC">
      <w:pPr>
        <w:spacing w:before="270" w:line="254" w:lineRule="exact"/>
        <w:ind w:left="72" w:right="72"/>
        <w:jc w:val="both"/>
        <w:textAlignment w:val="baseline"/>
        <w:rPr>
          <w:rFonts w:eastAsia="Times New Roman"/>
          <w:color w:val="000000"/>
          <w:sz w:val="23"/>
          <w:u w:val="single"/>
          <w:lang w:val="fr-FR"/>
        </w:rPr>
      </w:pPr>
      <w:r>
        <w:rPr>
          <w:rFonts w:eastAsia="Times New Roman"/>
          <w:color w:val="000000"/>
          <w:sz w:val="23"/>
          <w:u w:val="single"/>
          <w:lang w:val="fr-FR"/>
        </w:rPr>
        <w:t>Article 1-</w:t>
      </w:r>
      <w:r>
        <w:rPr>
          <w:rFonts w:eastAsia="Times New Roman"/>
          <w:color w:val="000000"/>
          <w:sz w:val="23"/>
          <w:lang w:val="fr-FR"/>
        </w:rPr>
        <w:t xml:space="preserve"> : La requête des sociétés </w:t>
      </w:r>
      <w:proofErr w:type="spellStart"/>
      <w:r>
        <w:rPr>
          <w:rFonts w:eastAsia="Times New Roman"/>
          <w:color w:val="000000"/>
          <w:sz w:val="23"/>
          <w:lang w:val="fr-FR"/>
        </w:rPr>
        <w:t>Campenon</w:t>
      </w:r>
      <w:proofErr w:type="spellEnd"/>
      <w:r>
        <w:rPr>
          <w:rFonts w:eastAsia="Times New Roman"/>
          <w:color w:val="000000"/>
          <w:sz w:val="23"/>
          <w:lang w:val="fr-FR"/>
        </w:rPr>
        <w:t xml:space="preserve"> Bernard Centre Est, Vinci construction maritime et fluvial et Lyonnaise d'éclairage est rejetée.</w:t>
      </w:r>
    </w:p>
    <w:p w14:paraId="0F9413DC" w14:textId="77777777" w:rsidR="0063374B" w:rsidRDefault="00012AEC">
      <w:pPr>
        <w:spacing w:before="275" w:line="263" w:lineRule="exact"/>
        <w:ind w:left="72"/>
        <w:jc w:val="both"/>
        <w:textAlignment w:val="baseline"/>
        <w:rPr>
          <w:rFonts w:eastAsia="Times New Roman"/>
          <w:color w:val="000000"/>
          <w:sz w:val="23"/>
          <w:u w:val="single"/>
          <w:lang w:val="fr-FR"/>
        </w:rPr>
      </w:pPr>
      <w:r>
        <w:rPr>
          <w:rFonts w:eastAsia="Times New Roman"/>
          <w:color w:val="000000"/>
          <w:sz w:val="23"/>
          <w:u w:val="single"/>
          <w:lang w:val="fr-FR"/>
        </w:rPr>
        <w:t>Article 2</w:t>
      </w:r>
      <w:r>
        <w:rPr>
          <w:rFonts w:eastAsia="Times New Roman"/>
          <w:color w:val="000000"/>
          <w:sz w:val="23"/>
          <w:lang w:val="fr-FR"/>
        </w:rPr>
        <w:t xml:space="preserve"> : Les conclusions présentées par la société </w:t>
      </w:r>
      <w:proofErr w:type="spellStart"/>
      <w:r>
        <w:rPr>
          <w:rFonts w:eastAsia="Times New Roman"/>
          <w:color w:val="000000"/>
          <w:sz w:val="23"/>
          <w:lang w:val="fr-FR"/>
        </w:rPr>
        <w:t>Iemants</w:t>
      </w:r>
      <w:proofErr w:type="spellEnd"/>
      <w:r>
        <w:rPr>
          <w:rFonts w:eastAsia="Times New Roman"/>
          <w:color w:val="000000"/>
          <w:sz w:val="23"/>
          <w:lang w:val="fr-FR"/>
        </w:rPr>
        <w:t xml:space="preserve"> relatives aux dépens et les conclusions présentées par les pa</w:t>
      </w:r>
      <w:r>
        <w:rPr>
          <w:rFonts w:eastAsia="Times New Roman"/>
          <w:color w:val="000000"/>
          <w:sz w:val="23"/>
          <w:lang w:val="fr-FR"/>
        </w:rPr>
        <w:t>rties au titre de l'article L. 761-1 du code de justice administrative sont rejetées.</w:t>
      </w:r>
    </w:p>
    <w:p w14:paraId="3ECA9AB7" w14:textId="77777777" w:rsidR="0063374B" w:rsidRDefault="00012AEC">
      <w:pPr>
        <w:spacing w:before="289" w:line="266" w:lineRule="exact"/>
        <w:ind w:left="72"/>
        <w:jc w:val="both"/>
        <w:textAlignment w:val="baseline"/>
        <w:rPr>
          <w:rFonts w:eastAsia="Times New Roman"/>
          <w:color w:val="000000"/>
          <w:sz w:val="23"/>
          <w:u w:val="single"/>
          <w:lang w:val="fr-FR"/>
        </w:rPr>
      </w:pPr>
      <w:r>
        <w:rPr>
          <w:rFonts w:eastAsia="Times New Roman"/>
          <w:color w:val="000000"/>
          <w:sz w:val="23"/>
          <w:u w:val="single"/>
          <w:lang w:val="fr-FR"/>
        </w:rPr>
        <w:t>Article 3</w:t>
      </w:r>
      <w:r>
        <w:rPr>
          <w:rFonts w:eastAsia="Times New Roman"/>
          <w:color w:val="000000"/>
          <w:sz w:val="23"/>
          <w:lang w:val="fr-FR"/>
        </w:rPr>
        <w:t xml:space="preserve"> : Le présent arrêt sera notifié aux sociétés </w:t>
      </w:r>
      <w:proofErr w:type="spellStart"/>
      <w:r>
        <w:rPr>
          <w:rFonts w:eastAsia="Times New Roman"/>
          <w:color w:val="000000"/>
          <w:sz w:val="23"/>
          <w:lang w:val="fr-FR"/>
        </w:rPr>
        <w:t>Campenon</w:t>
      </w:r>
      <w:proofErr w:type="spellEnd"/>
      <w:r>
        <w:rPr>
          <w:rFonts w:eastAsia="Times New Roman"/>
          <w:color w:val="000000"/>
          <w:sz w:val="23"/>
          <w:lang w:val="fr-FR"/>
        </w:rPr>
        <w:t xml:space="preserve"> Bernard Centre Est, Vinci construction maritime et fluvial, Lyonnaise d'éclairage et </w:t>
      </w:r>
      <w:proofErr w:type="spellStart"/>
      <w:r>
        <w:rPr>
          <w:rFonts w:eastAsia="Times New Roman"/>
          <w:color w:val="000000"/>
          <w:sz w:val="23"/>
          <w:lang w:val="fr-FR"/>
        </w:rPr>
        <w:t>Iemants</w:t>
      </w:r>
      <w:proofErr w:type="spellEnd"/>
      <w:r>
        <w:rPr>
          <w:rFonts w:eastAsia="Times New Roman"/>
          <w:color w:val="000000"/>
          <w:sz w:val="23"/>
          <w:lang w:val="fr-FR"/>
        </w:rPr>
        <w:t xml:space="preserve"> et à la métropole de Lyon.</w:t>
      </w:r>
    </w:p>
    <w:p w14:paraId="7D9E365E" w14:textId="77777777" w:rsidR="0063374B" w:rsidRDefault="0063374B">
      <w:pPr>
        <w:sectPr w:rsidR="0063374B">
          <w:pgSz w:w="11923" w:h="16841"/>
          <w:pgMar w:top="980" w:right="1118" w:bottom="2885" w:left="1705" w:header="720" w:footer="720" w:gutter="0"/>
          <w:cols w:space="720"/>
        </w:sectPr>
      </w:pPr>
    </w:p>
    <w:p w14:paraId="3998B6D3" w14:textId="77777777" w:rsidR="0063374B" w:rsidRDefault="00012AEC">
      <w:pPr>
        <w:tabs>
          <w:tab w:val="right" w:pos="8928"/>
        </w:tabs>
        <w:spacing w:line="261" w:lineRule="exact"/>
        <w:ind w:left="72"/>
        <w:textAlignment w:val="baseline"/>
        <w:rPr>
          <w:rFonts w:eastAsia="Times New Roman"/>
          <w:color w:val="000000"/>
          <w:sz w:val="23"/>
          <w:lang w:val="fr-FR"/>
        </w:rPr>
      </w:pPr>
      <w:r>
        <w:pict w14:anchorId="4226F8CD">
          <v:shape id="_x0000_s1026" type="#_x0000_t202" style="position:absolute;left:0;text-align:left;margin-left:0;margin-top:0;width:596.15pt;height:842.05pt;z-index:-251657216;mso-position-horizontal-relative:page;mso-position-vertical-relative:page" fillcolor="#ececec" stroked="f">
            <v:textbox>
              <w:txbxContent>
                <w:p w14:paraId="7C17D588" w14:textId="77777777" w:rsidR="00000000" w:rsidRDefault="00012AEC"/>
              </w:txbxContent>
            </v:textbox>
            <w10:wrap anchorx="page" anchory="page"/>
          </v:shape>
        </w:pict>
      </w:r>
      <w:r>
        <w:rPr>
          <w:rFonts w:eastAsia="Times New Roman"/>
          <w:color w:val="000000"/>
          <w:sz w:val="23"/>
          <w:lang w:val="fr-FR"/>
        </w:rPr>
        <w:t>N° 19LY04627</w:t>
      </w:r>
      <w:r>
        <w:rPr>
          <w:rFonts w:eastAsia="Times New Roman"/>
          <w:color w:val="000000"/>
          <w:sz w:val="23"/>
          <w:lang w:val="fr-FR"/>
        </w:rPr>
        <w:tab/>
        <w:t>2</w:t>
      </w:r>
    </w:p>
    <w:p w14:paraId="32AA8E1A" w14:textId="77777777" w:rsidR="0063374B" w:rsidRDefault="00012AEC">
      <w:pPr>
        <w:spacing w:before="549" w:line="266" w:lineRule="exact"/>
        <w:ind w:left="72" w:right="144" w:firstLine="720"/>
        <w:jc w:val="both"/>
        <w:textAlignment w:val="baseline"/>
        <w:rPr>
          <w:rFonts w:eastAsia="Times New Roman"/>
          <w:color w:val="000000"/>
          <w:sz w:val="23"/>
          <w:lang w:val="fr-FR"/>
        </w:rPr>
      </w:pPr>
      <w:r>
        <w:rPr>
          <w:rFonts w:eastAsia="Times New Roman"/>
          <w:color w:val="000000"/>
          <w:sz w:val="23"/>
          <w:lang w:val="fr-FR"/>
        </w:rPr>
        <w:t>2°) de condamner la métropole de Lyon à leur vers</w:t>
      </w:r>
      <w:r>
        <w:rPr>
          <w:rFonts w:eastAsia="Times New Roman"/>
          <w:color w:val="000000"/>
          <w:sz w:val="23"/>
          <w:lang w:val="fr-FR"/>
        </w:rPr>
        <w:t>er la somme de 656 812,99 euros TTC ;</w:t>
      </w:r>
    </w:p>
    <w:p w14:paraId="541A3FEE" w14:textId="77777777" w:rsidR="0063374B" w:rsidRDefault="00012AEC">
      <w:pPr>
        <w:spacing w:before="270" w:line="266" w:lineRule="exact"/>
        <w:ind w:left="72" w:right="144" w:firstLine="792"/>
        <w:jc w:val="both"/>
        <w:textAlignment w:val="baseline"/>
        <w:rPr>
          <w:rFonts w:eastAsia="Times New Roman"/>
          <w:color w:val="000000"/>
          <w:sz w:val="23"/>
          <w:lang w:val="fr-FR"/>
        </w:rPr>
      </w:pPr>
      <w:r>
        <w:rPr>
          <w:rFonts w:eastAsia="Times New Roman"/>
          <w:color w:val="000000"/>
          <w:sz w:val="23"/>
          <w:lang w:val="fr-FR"/>
        </w:rPr>
        <w:t>3°) de mettre à la charge de la métropole de Lyon la somme de 5 000 euros à verser à chacune au titre de l'article L. 761-1 du code de justice administrative.</w:t>
      </w:r>
    </w:p>
    <w:p w14:paraId="0E13680D" w14:textId="77777777" w:rsidR="0063374B" w:rsidRDefault="00012AEC">
      <w:pPr>
        <w:spacing w:before="261" w:line="266" w:lineRule="exact"/>
        <w:ind w:left="864"/>
        <w:textAlignment w:val="baseline"/>
        <w:rPr>
          <w:rFonts w:eastAsia="Times New Roman"/>
          <w:color w:val="000000"/>
          <w:spacing w:val="-1"/>
          <w:sz w:val="23"/>
          <w:lang w:val="fr-FR"/>
        </w:rPr>
      </w:pPr>
      <w:r>
        <w:rPr>
          <w:rFonts w:eastAsia="Times New Roman"/>
          <w:color w:val="000000"/>
          <w:spacing w:val="-1"/>
          <w:sz w:val="23"/>
          <w:lang w:val="fr-FR"/>
        </w:rPr>
        <w:t>Elles soutiennent que :</w:t>
      </w:r>
    </w:p>
    <w:p w14:paraId="198B855B" w14:textId="77777777" w:rsidR="0063374B" w:rsidRDefault="00012AEC">
      <w:pPr>
        <w:numPr>
          <w:ilvl w:val="0"/>
          <w:numId w:val="4"/>
        </w:numPr>
        <w:tabs>
          <w:tab w:val="clear" w:pos="288"/>
          <w:tab w:val="left" w:pos="1152"/>
        </w:tabs>
        <w:spacing w:before="2" w:line="266" w:lineRule="exact"/>
        <w:ind w:left="144" w:right="72" w:firstLine="720"/>
        <w:jc w:val="both"/>
        <w:textAlignment w:val="baseline"/>
        <w:rPr>
          <w:rFonts w:eastAsia="Times New Roman"/>
          <w:color w:val="000000"/>
          <w:sz w:val="23"/>
          <w:lang w:val="fr-FR"/>
        </w:rPr>
      </w:pPr>
      <w:r>
        <w:rPr>
          <w:rFonts w:eastAsia="Times New Roman"/>
          <w:color w:val="000000"/>
          <w:sz w:val="23"/>
          <w:lang w:val="fr-FR"/>
        </w:rPr>
        <w:t>l'article 107 du code des marchés p</w:t>
      </w:r>
      <w:r>
        <w:rPr>
          <w:rFonts w:eastAsia="Times New Roman"/>
          <w:color w:val="000000"/>
          <w:sz w:val="23"/>
          <w:lang w:val="fr-FR"/>
        </w:rPr>
        <w:t xml:space="preserve">ublics n'est pas applicable au protocole transactionnel du 3 août 2015, qualifié à juste titre de subrogation conventionnelle par le tribunal qui a jugé à tort qu'elle doit être regardée comme constituant une cession de créance au sens de ces dispositions </w:t>
      </w:r>
      <w:r>
        <w:rPr>
          <w:rFonts w:eastAsia="Times New Roman"/>
          <w:color w:val="000000"/>
          <w:sz w:val="23"/>
          <w:lang w:val="fr-FR"/>
        </w:rPr>
        <w:t>;</w:t>
      </w:r>
    </w:p>
    <w:p w14:paraId="1887A43D" w14:textId="77777777" w:rsidR="0063374B" w:rsidRDefault="00012AEC">
      <w:pPr>
        <w:numPr>
          <w:ilvl w:val="0"/>
          <w:numId w:val="4"/>
        </w:numPr>
        <w:tabs>
          <w:tab w:val="clear" w:pos="288"/>
          <w:tab w:val="left" w:pos="1152"/>
        </w:tabs>
        <w:spacing w:before="5" w:line="266" w:lineRule="exact"/>
        <w:ind w:left="144" w:right="72" w:firstLine="720"/>
        <w:jc w:val="both"/>
        <w:textAlignment w:val="baseline"/>
        <w:rPr>
          <w:rFonts w:eastAsia="Times New Roman"/>
          <w:color w:val="000000"/>
          <w:sz w:val="23"/>
          <w:lang w:val="fr-FR"/>
        </w:rPr>
      </w:pPr>
      <w:r>
        <w:rPr>
          <w:rFonts w:eastAsia="Times New Roman"/>
          <w:color w:val="000000"/>
          <w:sz w:val="23"/>
          <w:lang w:val="fr-FR"/>
        </w:rPr>
        <w:t>la subrogation a produit ses effets dès le paiement le 4 août 2015 de la somme convenue entre les parties antérieurement à l'intervention de la saisie-attribution ;</w:t>
      </w:r>
    </w:p>
    <w:p w14:paraId="26B48A22" w14:textId="77777777" w:rsidR="0063374B" w:rsidRDefault="00012AEC">
      <w:pPr>
        <w:spacing w:line="264" w:lineRule="exact"/>
        <w:ind w:left="72" w:right="72" w:firstLine="792"/>
        <w:jc w:val="both"/>
        <w:textAlignment w:val="baseline"/>
        <w:rPr>
          <w:rFonts w:eastAsia="Times New Roman"/>
          <w:color w:val="000000"/>
          <w:sz w:val="23"/>
          <w:lang w:val="fr-FR"/>
        </w:rPr>
      </w:pPr>
      <w:r>
        <w:rPr>
          <w:rFonts w:eastAsia="Times New Roman"/>
          <w:color w:val="000000"/>
          <w:sz w:val="23"/>
          <w:lang w:val="fr-FR"/>
        </w:rPr>
        <w:t xml:space="preserve">— la métropole de Lyon, qui connaissait l'existence du protocole transactionnel lors des négociations du protocole valant décompte général du marché justifiant la présence de la société </w:t>
      </w:r>
      <w:proofErr w:type="spellStart"/>
      <w:r>
        <w:rPr>
          <w:rFonts w:eastAsia="Times New Roman"/>
          <w:color w:val="000000"/>
          <w:sz w:val="23"/>
          <w:lang w:val="fr-FR"/>
        </w:rPr>
        <w:t>Cordioli</w:t>
      </w:r>
      <w:proofErr w:type="spellEnd"/>
      <w:r>
        <w:rPr>
          <w:rFonts w:eastAsia="Times New Roman"/>
          <w:color w:val="000000"/>
          <w:sz w:val="23"/>
          <w:lang w:val="fr-FR"/>
        </w:rPr>
        <w:t>, a méconnu ses obligations contractuelles en refusant de vers</w:t>
      </w:r>
      <w:r>
        <w:rPr>
          <w:rFonts w:eastAsia="Times New Roman"/>
          <w:color w:val="000000"/>
          <w:sz w:val="23"/>
          <w:lang w:val="fr-FR"/>
        </w:rPr>
        <w:t>er l'intégralité de la somme prévue par ce protocole ;</w:t>
      </w:r>
    </w:p>
    <w:p w14:paraId="7724093F" w14:textId="77777777" w:rsidR="0063374B" w:rsidRDefault="00012AEC">
      <w:pPr>
        <w:spacing w:before="2" w:line="266" w:lineRule="exact"/>
        <w:ind w:left="864"/>
        <w:jc w:val="both"/>
        <w:textAlignment w:val="baseline"/>
        <w:rPr>
          <w:rFonts w:eastAsia="Times New Roman"/>
          <w:color w:val="000000"/>
          <w:spacing w:val="-1"/>
          <w:sz w:val="23"/>
          <w:lang w:val="fr-FR"/>
        </w:rPr>
      </w:pPr>
      <w:r>
        <w:rPr>
          <w:rFonts w:eastAsia="Times New Roman"/>
          <w:color w:val="000000"/>
          <w:spacing w:val="-1"/>
          <w:sz w:val="23"/>
          <w:lang w:val="fr-FR"/>
        </w:rPr>
        <w:t>— elles n'ont pas méconnu le principe de loyauté contractuelle ;</w:t>
      </w:r>
    </w:p>
    <w:p w14:paraId="3C83C05B" w14:textId="77777777" w:rsidR="0063374B" w:rsidRDefault="00012AEC">
      <w:pPr>
        <w:numPr>
          <w:ilvl w:val="0"/>
          <w:numId w:val="4"/>
        </w:numPr>
        <w:tabs>
          <w:tab w:val="clear" w:pos="288"/>
          <w:tab w:val="left" w:pos="1152"/>
        </w:tabs>
        <w:spacing w:line="264" w:lineRule="exact"/>
        <w:ind w:left="144" w:right="72" w:firstLine="720"/>
        <w:jc w:val="both"/>
        <w:textAlignment w:val="baseline"/>
        <w:rPr>
          <w:rFonts w:eastAsia="Times New Roman"/>
          <w:color w:val="000000"/>
          <w:sz w:val="23"/>
          <w:lang w:val="fr-FR"/>
        </w:rPr>
      </w:pPr>
      <w:r>
        <w:rPr>
          <w:rFonts w:eastAsia="Times New Roman"/>
          <w:color w:val="000000"/>
          <w:sz w:val="23"/>
          <w:lang w:val="fr-FR"/>
        </w:rPr>
        <w:t xml:space="preserve">le courriel du 29 décembre 2016 ne vaut pas reconnaissance de dette de la métropole envers la société </w:t>
      </w:r>
      <w:proofErr w:type="spellStart"/>
      <w:r>
        <w:rPr>
          <w:rFonts w:eastAsia="Times New Roman"/>
          <w:color w:val="000000"/>
          <w:sz w:val="23"/>
          <w:lang w:val="fr-FR"/>
        </w:rPr>
        <w:t>Iemants</w:t>
      </w:r>
      <w:proofErr w:type="spellEnd"/>
      <w:r>
        <w:rPr>
          <w:rFonts w:eastAsia="Times New Roman"/>
          <w:color w:val="000000"/>
          <w:sz w:val="23"/>
          <w:lang w:val="fr-FR"/>
        </w:rPr>
        <w:t>.</w:t>
      </w:r>
    </w:p>
    <w:p w14:paraId="25773050" w14:textId="77777777" w:rsidR="0063374B" w:rsidRDefault="00012AEC">
      <w:pPr>
        <w:spacing w:before="523" w:line="266" w:lineRule="exact"/>
        <w:ind w:left="72" w:right="72" w:firstLine="792"/>
        <w:jc w:val="both"/>
        <w:textAlignment w:val="baseline"/>
        <w:rPr>
          <w:rFonts w:eastAsia="Times New Roman"/>
          <w:color w:val="000000"/>
          <w:sz w:val="23"/>
          <w:lang w:val="fr-FR"/>
        </w:rPr>
      </w:pPr>
      <w:r>
        <w:rPr>
          <w:rFonts w:eastAsia="Times New Roman"/>
          <w:color w:val="000000"/>
          <w:sz w:val="23"/>
          <w:lang w:val="fr-FR"/>
        </w:rPr>
        <w:t xml:space="preserve">Par des mémoires enregistrés les 11 mars, </w:t>
      </w:r>
      <w:proofErr w:type="spellStart"/>
      <w:r>
        <w:rPr>
          <w:rFonts w:eastAsia="Times New Roman"/>
          <w:color w:val="000000"/>
          <w:sz w:val="23"/>
          <w:lang w:val="fr-FR"/>
        </w:rPr>
        <w:t>l</w:t>
      </w:r>
      <w:r>
        <w:rPr>
          <w:rFonts w:eastAsia="Times New Roman"/>
          <w:color w:val="000000"/>
          <w:sz w:val="23"/>
          <w:vertAlign w:val="superscript"/>
          <w:lang w:val="fr-FR"/>
        </w:rPr>
        <w:t>er</w:t>
      </w:r>
      <w:proofErr w:type="spellEnd"/>
      <w:r>
        <w:rPr>
          <w:rFonts w:eastAsia="Times New Roman"/>
          <w:color w:val="000000"/>
          <w:sz w:val="23"/>
          <w:lang w:val="fr-FR"/>
        </w:rPr>
        <w:t xml:space="preserve"> octobre et 19 novembre 2020, la société </w:t>
      </w:r>
      <w:proofErr w:type="spellStart"/>
      <w:r>
        <w:rPr>
          <w:rFonts w:eastAsia="Times New Roman"/>
          <w:color w:val="000000"/>
          <w:sz w:val="23"/>
          <w:lang w:val="fr-FR"/>
        </w:rPr>
        <w:t>Iemants</w:t>
      </w:r>
      <w:proofErr w:type="spellEnd"/>
      <w:r>
        <w:rPr>
          <w:rFonts w:eastAsia="Times New Roman"/>
          <w:color w:val="000000"/>
          <w:sz w:val="23"/>
          <w:lang w:val="fr-FR"/>
        </w:rPr>
        <w:t xml:space="preserve">, représentée par Me Charpentier Mavrinac, conclut, </w:t>
      </w:r>
      <w:r>
        <w:rPr>
          <w:rFonts w:eastAsia="Times New Roman"/>
          <w:color w:val="000000"/>
          <w:sz w:val="23"/>
          <w:lang w:val="fr-FR"/>
        </w:rPr>
        <w:t xml:space="preserve">dans le dernier état de ses écritures, au rejet de la requête, à la condamnation de la société VCF TP Lyon, </w:t>
      </w:r>
      <w:r>
        <w:rPr>
          <w:rFonts w:eastAsia="Times New Roman"/>
          <w:i/>
          <w:color w:val="000000"/>
          <w:sz w:val="23"/>
          <w:lang w:val="fr-FR"/>
        </w:rPr>
        <w:t xml:space="preserve">in </w:t>
      </w:r>
      <w:proofErr w:type="spellStart"/>
      <w:r>
        <w:rPr>
          <w:rFonts w:eastAsia="Times New Roman"/>
          <w:i/>
          <w:color w:val="000000"/>
          <w:sz w:val="23"/>
          <w:lang w:val="fr-FR"/>
        </w:rPr>
        <w:t>solidum</w:t>
      </w:r>
      <w:proofErr w:type="spellEnd"/>
      <w:r>
        <w:rPr>
          <w:rFonts w:eastAsia="Times New Roman"/>
          <w:i/>
          <w:color w:val="000000"/>
          <w:sz w:val="23"/>
          <w:lang w:val="fr-FR"/>
        </w:rPr>
        <w:t xml:space="preserve"> </w:t>
      </w:r>
      <w:r>
        <w:rPr>
          <w:rFonts w:eastAsia="Times New Roman"/>
          <w:color w:val="000000"/>
          <w:sz w:val="23"/>
          <w:lang w:val="fr-FR"/>
        </w:rPr>
        <w:t>avec les sociétés Vinci construction maritime et fluvial et Lyonnaise d'éclairage, à lui verser la somme de 5 540 euros au titre des dépe</w:t>
      </w:r>
      <w:r>
        <w:rPr>
          <w:rFonts w:eastAsia="Times New Roman"/>
          <w:color w:val="000000"/>
          <w:sz w:val="23"/>
          <w:lang w:val="fr-FR"/>
        </w:rPr>
        <w:t>ns de la saisie-attribution et des frais de recouvrement et à ce que la somme de 25 000 euros soit mise à la charge des mêmes au titre de l'article L. 761-1 du code de justice administrative.</w:t>
      </w:r>
    </w:p>
    <w:p w14:paraId="68852AF3" w14:textId="77777777" w:rsidR="0063374B" w:rsidRDefault="00012AEC">
      <w:pPr>
        <w:spacing w:before="267" w:line="266" w:lineRule="exact"/>
        <w:ind w:left="864"/>
        <w:jc w:val="both"/>
        <w:textAlignment w:val="baseline"/>
        <w:rPr>
          <w:rFonts w:eastAsia="Times New Roman"/>
          <w:color w:val="000000"/>
          <w:sz w:val="23"/>
          <w:lang w:val="fr-FR"/>
        </w:rPr>
      </w:pPr>
      <w:r>
        <w:rPr>
          <w:rFonts w:eastAsia="Times New Roman"/>
          <w:color w:val="000000"/>
          <w:sz w:val="23"/>
          <w:lang w:val="fr-FR"/>
        </w:rPr>
        <w:t>Elle fait valoir que :</w:t>
      </w:r>
    </w:p>
    <w:p w14:paraId="57CDADD4" w14:textId="77777777" w:rsidR="0063374B" w:rsidRDefault="00012AEC">
      <w:pPr>
        <w:spacing w:before="4" w:line="266" w:lineRule="exact"/>
        <w:ind w:left="72" w:right="72" w:firstLine="792"/>
        <w:jc w:val="both"/>
        <w:textAlignment w:val="baseline"/>
        <w:rPr>
          <w:rFonts w:eastAsia="Times New Roman"/>
          <w:color w:val="000000"/>
          <w:sz w:val="23"/>
          <w:lang w:val="fr-FR"/>
        </w:rPr>
      </w:pPr>
      <w:r>
        <w:rPr>
          <w:rFonts w:eastAsia="Times New Roman"/>
          <w:color w:val="000000"/>
          <w:sz w:val="23"/>
          <w:lang w:val="fr-FR"/>
        </w:rPr>
        <w:t xml:space="preserve">— la société </w:t>
      </w:r>
      <w:proofErr w:type="spellStart"/>
      <w:r>
        <w:rPr>
          <w:rFonts w:eastAsia="Times New Roman"/>
          <w:color w:val="000000"/>
          <w:sz w:val="23"/>
          <w:lang w:val="fr-FR"/>
        </w:rPr>
        <w:t>Cordioli</w:t>
      </w:r>
      <w:proofErr w:type="spellEnd"/>
      <w:r>
        <w:rPr>
          <w:rFonts w:eastAsia="Times New Roman"/>
          <w:color w:val="000000"/>
          <w:sz w:val="23"/>
          <w:lang w:val="fr-FR"/>
        </w:rPr>
        <w:t>, qui a signé en qua</w:t>
      </w:r>
      <w:r>
        <w:rPr>
          <w:rFonts w:eastAsia="Times New Roman"/>
          <w:color w:val="000000"/>
          <w:sz w:val="23"/>
          <w:lang w:val="fr-FR"/>
        </w:rPr>
        <w:t>lité de membre du groupement d'entreprises le protocole du 24 mars 2016, n'a pas consenti à la société VCF TP Lyon une subrogation conventionnelle mais une cession de créance inopposable à la métropole de Lyon faute de lui avoir été notifiée, en méconnaiss</w:t>
      </w:r>
      <w:r>
        <w:rPr>
          <w:rFonts w:eastAsia="Times New Roman"/>
          <w:color w:val="000000"/>
          <w:sz w:val="23"/>
          <w:lang w:val="fr-FR"/>
        </w:rPr>
        <w:t>ance du protocole transactionnel du 3 août 2015, ainsi qu'à son comptable assignataire, en méconnaissance de l'article 107 du code des marchés publics ;</w:t>
      </w:r>
    </w:p>
    <w:p w14:paraId="08927A08" w14:textId="77777777" w:rsidR="0063374B" w:rsidRDefault="00012AEC">
      <w:pPr>
        <w:spacing w:line="260" w:lineRule="exact"/>
        <w:ind w:left="864"/>
        <w:jc w:val="both"/>
        <w:textAlignment w:val="baseline"/>
        <w:rPr>
          <w:rFonts w:eastAsia="Times New Roman"/>
          <w:color w:val="000000"/>
          <w:spacing w:val="-2"/>
          <w:sz w:val="23"/>
          <w:lang w:val="fr-FR"/>
        </w:rPr>
      </w:pPr>
      <w:r>
        <w:rPr>
          <w:rFonts w:eastAsia="Times New Roman"/>
          <w:color w:val="000000"/>
          <w:spacing w:val="-2"/>
          <w:sz w:val="23"/>
          <w:lang w:val="fr-FR"/>
        </w:rPr>
        <w:t>— en tout état de cause, la subrogation ne serait pas parfaite ;</w:t>
      </w:r>
    </w:p>
    <w:p w14:paraId="76603A7A" w14:textId="77777777" w:rsidR="0063374B" w:rsidRDefault="00012AEC">
      <w:pPr>
        <w:numPr>
          <w:ilvl w:val="0"/>
          <w:numId w:val="4"/>
        </w:numPr>
        <w:tabs>
          <w:tab w:val="clear" w:pos="288"/>
          <w:tab w:val="left" w:pos="1152"/>
        </w:tabs>
        <w:spacing w:before="17" w:line="254" w:lineRule="exact"/>
        <w:ind w:left="144" w:right="72" w:firstLine="720"/>
        <w:jc w:val="both"/>
        <w:textAlignment w:val="baseline"/>
        <w:rPr>
          <w:rFonts w:eastAsia="Times New Roman"/>
          <w:color w:val="000000"/>
          <w:sz w:val="23"/>
          <w:lang w:val="fr-FR"/>
        </w:rPr>
      </w:pPr>
      <w:r>
        <w:rPr>
          <w:rFonts w:eastAsia="Times New Roman"/>
          <w:color w:val="000000"/>
          <w:sz w:val="23"/>
          <w:lang w:val="fr-FR"/>
        </w:rPr>
        <w:t>sa saisie-attribution a été valablemen</w:t>
      </w:r>
      <w:r>
        <w:rPr>
          <w:rFonts w:eastAsia="Times New Roman"/>
          <w:color w:val="000000"/>
          <w:sz w:val="23"/>
          <w:lang w:val="fr-FR"/>
        </w:rPr>
        <w:t>t notifiée entre les mains du comptable assignataire ;</w:t>
      </w:r>
    </w:p>
    <w:p w14:paraId="64B055A6" w14:textId="77777777" w:rsidR="0063374B" w:rsidRDefault="00012AEC">
      <w:pPr>
        <w:numPr>
          <w:ilvl w:val="0"/>
          <w:numId w:val="4"/>
        </w:numPr>
        <w:tabs>
          <w:tab w:val="clear" w:pos="288"/>
          <w:tab w:val="left" w:pos="1152"/>
        </w:tabs>
        <w:spacing w:before="13" w:line="266" w:lineRule="exact"/>
        <w:ind w:left="144" w:firstLine="720"/>
        <w:jc w:val="both"/>
        <w:textAlignment w:val="baseline"/>
        <w:rPr>
          <w:rFonts w:eastAsia="Times New Roman"/>
          <w:color w:val="000000"/>
          <w:sz w:val="23"/>
          <w:lang w:val="fr-FR"/>
        </w:rPr>
      </w:pPr>
      <w:r>
        <w:rPr>
          <w:rFonts w:eastAsia="Times New Roman"/>
          <w:color w:val="000000"/>
          <w:sz w:val="23"/>
          <w:lang w:val="fr-FR"/>
        </w:rPr>
        <w:t>la métropole a reconnu en 2016 lui devoir la somme en litige ; elle est fondée à demander sa condamnation à l'indemniser du préjudice subi du fait de son non versement.</w:t>
      </w:r>
    </w:p>
    <w:p w14:paraId="5BD2C0E8" w14:textId="77777777" w:rsidR="0063374B" w:rsidRDefault="00012AEC">
      <w:pPr>
        <w:spacing w:before="535" w:line="259" w:lineRule="exact"/>
        <w:ind w:left="72" w:firstLine="792"/>
        <w:jc w:val="both"/>
        <w:textAlignment w:val="baseline"/>
        <w:rPr>
          <w:rFonts w:eastAsia="Times New Roman"/>
          <w:color w:val="000000"/>
          <w:sz w:val="23"/>
          <w:lang w:val="fr-FR"/>
        </w:rPr>
      </w:pPr>
      <w:r>
        <w:rPr>
          <w:rFonts w:eastAsia="Times New Roman"/>
          <w:color w:val="000000"/>
          <w:sz w:val="23"/>
          <w:lang w:val="fr-FR"/>
        </w:rPr>
        <w:t>Par des mémoires enregistrés les 14 mars et 7 octobre 2020, la métropole de Lyon, repré</w:t>
      </w:r>
      <w:r>
        <w:rPr>
          <w:rFonts w:eastAsia="Times New Roman"/>
          <w:color w:val="000000"/>
          <w:sz w:val="23"/>
          <w:lang w:val="fr-FR"/>
        </w:rPr>
        <w:t>sentée par Me Cabanes, conclut au rejet de la requête et à ce que la somme de 5 000 euros soit mise à la charge des sociétés VCF TP Lyon, Vinci construction maritime et fluvial et Lyonnaise d'éclairage au titre de l'article L. 761-1 du code de justice admi</w:t>
      </w:r>
      <w:r>
        <w:rPr>
          <w:rFonts w:eastAsia="Times New Roman"/>
          <w:color w:val="000000"/>
          <w:sz w:val="23"/>
          <w:lang w:val="fr-FR"/>
        </w:rPr>
        <w:t>nistre;‘,.</w:t>
      </w:r>
    </w:p>
    <w:sectPr w:rsidR="0063374B">
      <w:pgSz w:w="11923" w:h="16841"/>
      <w:pgMar w:top="3360" w:right="1217" w:bottom="60" w:left="16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69E1"/>
    <w:multiLevelType w:val="multilevel"/>
    <w:tmpl w:val="3A785D82"/>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0026EB"/>
    <w:multiLevelType w:val="multilevel"/>
    <w:tmpl w:val="7A580B06"/>
    <w:lvl w:ilvl="0">
      <w:start w:val="1"/>
      <w:numFmt w:val="bullet"/>
      <w:lvlText w:val="—"/>
      <w:lvlJc w:val="left"/>
      <w:pPr>
        <w:tabs>
          <w:tab w:val="left" w:pos="288"/>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57580D"/>
    <w:multiLevelType w:val="multilevel"/>
    <w:tmpl w:val="4170CF26"/>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881CC8"/>
    <w:multiLevelType w:val="multilevel"/>
    <w:tmpl w:val="C45A4A64"/>
    <w:lvl w:ilvl="0">
      <w:start w:val="1"/>
      <w:numFmt w:val="bullet"/>
      <w:lvlText w:val="—"/>
      <w:lvlJc w:val="left"/>
      <w:pPr>
        <w:tabs>
          <w:tab w:val="left" w:pos="216"/>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3374B"/>
    <w:rsid w:val="00012AEC"/>
    <w:rsid w:val="00324792"/>
    <w:rsid w:val="006337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C1B9314"/>
  <w15:docId w15:val="{D8F01C7F-7CF4-4101-853A-5DF8857B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2211</Words>
  <Characters>12165</Characters>
  <Application>Microsoft Office Word</Application>
  <DocSecurity>0</DocSecurity>
  <Lines>101</Lines>
  <Paragraphs>28</Paragraphs>
  <ScaleCrop>false</ScaleCrop>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2022-02-07T12:30:00Z</dcterms:created>
</cp:coreProperties>
</file>